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EB506" w14:textId="5E251C9D" w:rsidR="00A431E3" w:rsidRPr="00FB1288" w:rsidRDefault="00A431E3" w:rsidP="00BE6B4A">
      <w:pPr>
        <w:rPr>
          <w:rFonts w:ascii="Arial" w:hAnsi="Arial" w:cs="Arial"/>
          <w:b/>
          <w:bCs/>
          <w:color w:val="365F91" w:themeColor="accent1" w:themeShade="BF"/>
          <w:sz w:val="24"/>
          <w:szCs w:val="24"/>
        </w:rPr>
        <w:sectPr w:rsidR="00A431E3" w:rsidRPr="00FB1288" w:rsidSect="00E310AD">
          <w:headerReference w:type="default" r:id="rId11"/>
          <w:footerReference w:type="default" r:id="rId12"/>
          <w:pgSz w:w="23814" w:h="16839" w:orient="landscape" w:code="8"/>
          <w:pgMar w:top="993" w:right="1440" w:bottom="1440" w:left="709" w:header="708" w:footer="708" w:gutter="0"/>
          <w:cols w:space="708"/>
          <w:docGrid w:linePitch="360"/>
        </w:sectPr>
      </w:pPr>
    </w:p>
    <w:tbl>
      <w:tblPr>
        <w:tblStyle w:val="TableGrid"/>
        <w:tblpPr w:leftFromText="187" w:rightFromText="187" w:horzAnchor="margin" w:tblpXSpec="center"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0"/>
      </w:tblGrid>
      <w:tr w:rsidR="006C2502" w:rsidRPr="00FB1288" w14:paraId="4BC24D7A" w14:textId="77777777" w:rsidTr="006C2502">
        <w:tc>
          <w:tcPr>
            <w:tcW w:w="13590" w:type="dxa"/>
          </w:tcPr>
          <w:p w14:paraId="02E0E480" w14:textId="77777777" w:rsidR="006C2502" w:rsidRPr="00F4241D" w:rsidRDefault="006C2502" w:rsidP="00E166CE">
            <w:pPr>
              <w:pStyle w:val="Copyright"/>
              <w:rPr>
                <w:b/>
              </w:rPr>
            </w:pPr>
            <w:r w:rsidRPr="00F4241D">
              <w:rPr>
                <w:b/>
              </w:rPr>
              <w:lastRenderedPageBreak/>
              <w:t>Copyright statement</w:t>
            </w:r>
          </w:p>
          <w:p w14:paraId="08AAA917" w14:textId="77777777" w:rsidR="006C2502" w:rsidRPr="00AC4137" w:rsidRDefault="006C2502" w:rsidP="00E166CE">
            <w:pPr>
              <w:pStyle w:val="Copyright"/>
              <w:rPr>
                <w:color w:val="222222"/>
              </w:rPr>
            </w:pPr>
            <w:r w:rsidRPr="00E832E7">
              <w:rPr>
                <w:color w:val="222222"/>
              </w:rPr>
              <w:t>The copyright material published in this work is subject to the</w:t>
            </w:r>
            <w:r>
              <w:rPr>
                <w:color w:val="222222"/>
              </w:rPr>
              <w:t xml:space="preserve"> </w:t>
            </w:r>
            <w:r w:rsidRPr="00E832E7">
              <w:rPr>
                <w:i/>
                <w:color w:val="222222"/>
              </w:rPr>
              <w:t>Copyright Act 1968</w:t>
            </w:r>
            <w:r>
              <w:rPr>
                <w:i/>
                <w:color w:val="222222"/>
              </w:rPr>
              <w:t xml:space="preserve"> </w:t>
            </w:r>
            <w:r w:rsidRPr="00E832E7">
              <w:rPr>
                <w:color w:val="222222"/>
              </w:rPr>
              <w:t>(</w:t>
            </w:r>
            <w:proofErr w:type="spellStart"/>
            <w:r w:rsidRPr="00E832E7">
              <w:rPr>
                <w:color w:val="222222"/>
              </w:rPr>
              <w:t>Cth</w:t>
            </w:r>
            <w:proofErr w:type="spellEnd"/>
            <w:r w:rsidRPr="00E832E7">
              <w:rPr>
                <w:color w:val="222222"/>
              </w:rPr>
              <w:t xml:space="preserve">) and is owned by ACARA or, where indicated, by a party other than ACARA. </w:t>
            </w:r>
          </w:p>
          <w:p w14:paraId="16259FBE" w14:textId="77777777" w:rsidR="006C2502" w:rsidRPr="00AC4137" w:rsidRDefault="006C2502" w:rsidP="00E166CE">
            <w:pPr>
              <w:pStyle w:val="Copyright"/>
            </w:pPr>
            <w:r w:rsidRPr="008647A1">
              <w:t xml:space="preserve">This material is consultation material only and has not been endorsed by Australia’s nine education ministers. </w:t>
            </w:r>
          </w:p>
          <w:p w14:paraId="3C6DF1F7" w14:textId="77777777" w:rsidR="006C2502" w:rsidRDefault="006C2502" w:rsidP="00E166CE">
            <w:pPr>
              <w:pStyle w:val="Copyright"/>
            </w:pPr>
            <w:r w:rsidRPr="00C8498B">
              <w:t xml:space="preserve">You may view, download, display, print, reproduce (such as by making photocopies) and distribute these </w:t>
            </w:r>
            <w:r>
              <w:t xml:space="preserve">materials </w:t>
            </w:r>
            <w:r w:rsidRPr="00C8498B">
              <w:t xml:space="preserve">in unaltered form only for your </w:t>
            </w:r>
            <w:r w:rsidRPr="008E7B11">
              <w:rPr>
                <w:u w:val="single"/>
              </w:rPr>
              <w:t>personal, non-commercial educational purposes</w:t>
            </w:r>
            <w:r w:rsidRPr="00C8498B">
              <w:t xml:space="preserve"> or for </w:t>
            </w:r>
            <w:r w:rsidRPr="002F616F">
              <w:t xml:space="preserve">the </w:t>
            </w:r>
            <w:r w:rsidRPr="008E7B11">
              <w:rPr>
                <w:u w:val="single"/>
              </w:rPr>
              <w:t>non-commercial educational purposes of your organisation</w:t>
            </w:r>
            <w:r w:rsidRPr="00C8498B">
              <w:t>, provided that you make others aware it can only be used for these purposes and attribute ACARA as the source</w:t>
            </w:r>
            <w:r>
              <w:t xml:space="preserve">. </w:t>
            </w:r>
            <w:r w:rsidRPr="001D5525">
              <w:t xml:space="preserve">For attribution details, refer to </w:t>
            </w:r>
            <w:r w:rsidRPr="00FB1288">
              <w:rPr>
                <w:rFonts w:cs="Arial"/>
                <w:szCs w:val="20"/>
              </w:rPr>
              <w:t>clause 5 of the Copyright and Terms of Use</w:t>
            </w:r>
            <w:r w:rsidRPr="001D5525">
              <w:t xml:space="preserve"> published on the Australian Curriculum website</w:t>
            </w:r>
            <w:r>
              <w:t xml:space="preserve"> –</w:t>
            </w:r>
            <w:r w:rsidRPr="00AB7514">
              <w:t xml:space="preserve"> </w:t>
            </w:r>
            <w:hyperlink r:id="rId13" w:history="1">
              <w:r w:rsidRPr="00575828">
                <w:rPr>
                  <w:rStyle w:val="Hyperlink"/>
                </w:rPr>
                <w:t>www.australiancurriculum.edu.au/copyright-and-terms-of-use</w:t>
              </w:r>
            </w:hyperlink>
            <w:r>
              <w:t>.</w:t>
            </w:r>
          </w:p>
          <w:p w14:paraId="60E852EE" w14:textId="77777777" w:rsidR="006C2502" w:rsidRPr="00AC4137" w:rsidRDefault="006C2502" w:rsidP="00E166CE">
            <w:pPr>
              <w:pStyle w:val="Copyright"/>
            </w:pPr>
            <w:r w:rsidRPr="00A07F32">
              <w:t xml:space="preserve">ACARA does not endorse any product that uses the </w:t>
            </w:r>
            <w:r>
              <w:t>A</w:t>
            </w:r>
            <w:r w:rsidRPr="00A07F32">
              <w:t>ustralian Curriculum Review consultation material or make any representations as to the quality of such products. Any product that uses this material should not be taken to be affiliated with ACARA or have the sponsorship or approval of ACARA.</w:t>
            </w:r>
          </w:p>
        </w:tc>
      </w:tr>
    </w:tbl>
    <w:p w14:paraId="0131D621" w14:textId="1FF70A9C" w:rsidR="008B4545" w:rsidRPr="00FB1288" w:rsidRDefault="008B4545" w:rsidP="00BE6B4A">
      <w:pPr>
        <w:rPr>
          <w:rFonts w:ascii="Arial" w:hAnsi="Arial" w:cs="Arial"/>
          <w:b/>
          <w:bCs/>
          <w:color w:val="365F91" w:themeColor="accent1" w:themeShade="BF"/>
          <w:sz w:val="24"/>
          <w:szCs w:val="24"/>
        </w:rPr>
        <w:sectPr w:rsidR="008B4545" w:rsidRPr="00FB1288" w:rsidSect="00E310AD">
          <w:headerReference w:type="default" r:id="rId14"/>
          <w:footerReference w:type="default" r:id="rId15"/>
          <w:pgSz w:w="23814" w:h="16839" w:orient="landscape" w:code="8"/>
          <w:pgMar w:top="993" w:right="1440" w:bottom="1440" w:left="709" w:header="708" w:footer="708" w:gutter="0"/>
          <w:cols w:space="708"/>
          <w:docGrid w:linePitch="360"/>
        </w:sectPr>
      </w:pPr>
    </w:p>
    <w:p w14:paraId="7641B893" w14:textId="3FDACA4E" w:rsidR="0009616A" w:rsidRPr="00FB1288" w:rsidRDefault="00265DA7" w:rsidP="00BC2F5A">
      <w:pPr>
        <w:pStyle w:val="Heading1"/>
        <w:tabs>
          <w:tab w:val="left" w:pos="720"/>
        </w:tabs>
        <w:ind w:left="720"/>
        <w:rPr>
          <w:rFonts w:cs="Arial"/>
        </w:rPr>
      </w:pPr>
      <w:r w:rsidRPr="000E718D">
        <w:rPr>
          <w:rFonts w:cs="Arial"/>
        </w:rPr>
        <w:lastRenderedPageBreak/>
        <w:t xml:space="preserve">MEDIA ARTS </w:t>
      </w:r>
      <w:r w:rsidR="0009616A" w:rsidRPr="000E718D">
        <w:rPr>
          <w:rFonts w:cs="Arial"/>
        </w:rPr>
        <w:t xml:space="preserve">YEARS </w:t>
      </w:r>
      <w:r w:rsidR="000E6598" w:rsidRPr="000E718D">
        <w:rPr>
          <w:rFonts w:cs="Arial"/>
        </w:rPr>
        <w:t>7</w:t>
      </w:r>
      <w:r w:rsidR="00E014FB" w:rsidRPr="000E718D">
        <w:rPr>
          <w:rFonts w:cs="Arial"/>
        </w:rPr>
        <w:t>–</w:t>
      </w:r>
      <w:r w:rsidR="0009616A" w:rsidRPr="000E718D">
        <w:rPr>
          <w:rFonts w:cs="Arial"/>
        </w:rPr>
        <w:t>10</w:t>
      </w:r>
    </w:p>
    <w:tbl>
      <w:tblPr>
        <w:tblStyle w:val="TableGrid"/>
        <w:tblW w:w="20520" w:type="dxa"/>
        <w:tblInd w:w="697" w:type="dxa"/>
        <w:tblLayout w:type="fixed"/>
        <w:tblCellMar>
          <w:top w:w="29" w:type="dxa"/>
          <w:bottom w:w="86" w:type="dxa"/>
        </w:tblCellMar>
        <w:tblLook w:val="04A0" w:firstRow="1" w:lastRow="0" w:firstColumn="1" w:lastColumn="0" w:noHBand="0" w:noVBand="1"/>
      </w:tblPr>
      <w:tblGrid>
        <w:gridCol w:w="1350"/>
        <w:gridCol w:w="9540"/>
        <w:gridCol w:w="9630"/>
      </w:tblGrid>
      <w:tr w:rsidR="00797C1A" w:rsidRPr="00FB1288" w14:paraId="599452DD" w14:textId="77777777" w:rsidTr="00797C1A">
        <w:trPr>
          <w:trHeight w:val="296"/>
        </w:trPr>
        <w:tc>
          <w:tcPr>
            <w:tcW w:w="1350" w:type="dxa"/>
            <w:vMerge w:val="restart"/>
            <w:tcBorders>
              <w:top w:val="single" w:sz="18" w:space="0" w:color="00629B"/>
              <w:left w:val="single" w:sz="18" w:space="0" w:color="365F91" w:themeColor="accent1" w:themeShade="BF"/>
              <w:right w:val="single" w:sz="4" w:space="0" w:color="00629B"/>
            </w:tcBorders>
          </w:tcPr>
          <w:p w14:paraId="5252E5F9" w14:textId="77777777" w:rsidR="00797C1A" w:rsidRPr="00FB1288" w:rsidRDefault="00797C1A" w:rsidP="00C23FA7">
            <w:pPr>
              <w:jc w:val="center"/>
              <w:rPr>
                <w:rFonts w:ascii="Arial" w:hAnsi="Arial" w:cs="Arial"/>
                <w:b/>
                <w:bCs/>
                <w:color w:val="365F91" w:themeColor="accent1" w:themeShade="BF"/>
                <w:sz w:val="24"/>
                <w:szCs w:val="24"/>
              </w:rPr>
            </w:pPr>
            <w:r w:rsidRPr="00FB1288">
              <w:rPr>
                <w:rFonts w:ascii="Arial" w:hAnsi="Arial" w:cs="Arial"/>
                <w:b/>
                <w:bCs/>
                <w:color w:val="365F91" w:themeColor="accent1" w:themeShade="BF"/>
                <w:sz w:val="24"/>
                <w:szCs w:val="24"/>
              </w:rPr>
              <w:t>MEDIA ARTS</w:t>
            </w:r>
          </w:p>
        </w:tc>
        <w:tc>
          <w:tcPr>
            <w:tcW w:w="9540" w:type="dxa"/>
            <w:tcBorders>
              <w:top w:val="single" w:sz="18" w:space="0" w:color="00629B"/>
              <w:left w:val="single" w:sz="4" w:space="0" w:color="0067B4"/>
              <w:bottom w:val="nil"/>
              <w:right w:val="single" w:sz="4" w:space="0" w:color="00629B"/>
            </w:tcBorders>
          </w:tcPr>
          <w:p w14:paraId="514D63FD" w14:textId="77777777" w:rsidR="00797C1A" w:rsidRPr="00FB1288" w:rsidRDefault="00797C1A" w:rsidP="00D60791">
            <w:pPr>
              <w:pStyle w:val="Tableheading12black"/>
            </w:pPr>
            <w:r w:rsidRPr="00FB1288">
              <w:t xml:space="preserve">Years 7 and 8 </w:t>
            </w:r>
          </w:p>
        </w:tc>
        <w:tc>
          <w:tcPr>
            <w:tcW w:w="9630" w:type="dxa"/>
            <w:tcBorders>
              <w:top w:val="single" w:sz="18" w:space="0" w:color="00629B"/>
              <w:left w:val="single" w:sz="4" w:space="0" w:color="00629B"/>
              <w:right w:val="single" w:sz="18" w:space="0" w:color="0067B4"/>
            </w:tcBorders>
          </w:tcPr>
          <w:p w14:paraId="2101B548" w14:textId="77777777" w:rsidR="00797C1A" w:rsidRPr="00FB1288" w:rsidRDefault="00797C1A" w:rsidP="00D60791">
            <w:pPr>
              <w:pStyle w:val="Tableheading12black"/>
            </w:pPr>
            <w:r w:rsidRPr="00FB1288">
              <w:t>Years 9 and 10</w:t>
            </w:r>
            <w:r w:rsidRPr="00FB1288">
              <w:rPr>
                <w:rFonts w:eastAsia="Calibri"/>
              </w:rPr>
              <w:t xml:space="preserve"> </w:t>
            </w:r>
          </w:p>
        </w:tc>
      </w:tr>
      <w:tr w:rsidR="00C1372D" w:rsidRPr="00FB1288" w14:paraId="19039B84" w14:textId="77777777" w:rsidTr="005A1AFA">
        <w:trPr>
          <w:trHeight w:val="342"/>
        </w:trPr>
        <w:tc>
          <w:tcPr>
            <w:tcW w:w="1350" w:type="dxa"/>
            <w:vMerge/>
            <w:tcBorders>
              <w:left w:val="single" w:sz="18" w:space="0" w:color="365F91" w:themeColor="accent1" w:themeShade="BF"/>
              <w:right w:val="single" w:sz="4" w:space="0" w:color="00629B"/>
            </w:tcBorders>
          </w:tcPr>
          <w:p w14:paraId="2A3BBB9B" w14:textId="77777777" w:rsidR="00C1372D" w:rsidRPr="00FB1288" w:rsidRDefault="00C1372D" w:rsidP="00C23FA7">
            <w:pPr>
              <w:jc w:val="center"/>
              <w:rPr>
                <w:rFonts w:ascii="Arial" w:hAnsi="Arial" w:cs="Arial"/>
                <w:b/>
                <w:bCs/>
                <w:sz w:val="24"/>
                <w:szCs w:val="24"/>
              </w:rPr>
            </w:pPr>
          </w:p>
        </w:tc>
        <w:tc>
          <w:tcPr>
            <w:tcW w:w="19170" w:type="dxa"/>
            <w:gridSpan w:val="2"/>
            <w:tcBorders>
              <w:left w:val="nil"/>
              <w:right w:val="single" w:sz="18" w:space="0" w:color="0067B4"/>
            </w:tcBorders>
            <w:shd w:val="clear" w:color="auto" w:fill="365F91" w:themeFill="accent1" w:themeFillShade="BF"/>
          </w:tcPr>
          <w:p w14:paraId="5099028C" w14:textId="1ADBD03B" w:rsidR="00C1372D" w:rsidRPr="00FB1288" w:rsidRDefault="00C1372D" w:rsidP="00C1372D">
            <w:pPr>
              <w:pStyle w:val="Tableheading12white"/>
            </w:pPr>
            <w:r w:rsidRPr="00FB1288">
              <w:t>Media Arts achievement standard</w:t>
            </w:r>
          </w:p>
        </w:tc>
      </w:tr>
      <w:tr w:rsidR="00797C1A" w:rsidRPr="00FB1288" w14:paraId="7EF8C222" w14:textId="77777777" w:rsidTr="00797C1A">
        <w:trPr>
          <w:trHeight w:val="1756"/>
        </w:trPr>
        <w:tc>
          <w:tcPr>
            <w:tcW w:w="1350" w:type="dxa"/>
            <w:vMerge/>
            <w:tcBorders>
              <w:left w:val="single" w:sz="18" w:space="0" w:color="365F91" w:themeColor="accent1" w:themeShade="BF"/>
              <w:right w:val="single" w:sz="4" w:space="0" w:color="00629B"/>
            </w:tcBorders>
          </w:tcPr>
          <w:p w14:paraId="3A71C496" w14:textId="77777777" w:rsidR="00797C1A" w:rsidRPr="00FB1288" w:rsidRDefault="00797C1A" w:rsidP="00C23FA7">
            <w:pPr>
              <w:keepNext/>
              <w:widowControl w:val="0"/>
              <w:spacing w:after="120"/>
              <w:rPr>
                <w:rFonts w:ascii="Arial" w:hAnsi="Arial" w:cs="Arial"/>
                <w:sz w:val="20"/>
                <w:szCs w:val="20"/>
              </w:rPr>
            </w:pPr>
          </w:p>
        </w:tc>
        <w:tc>
          <w:tcPr>
            <w:tcW w:w="9540" w:type="dxa"/>
            <w:tcBorders>
              <w:left w:val="single" w:sz="4" w:space="0" w:color="0067B4"/>
              <w:right w:val="single" w:sz="4" w:space="0" w:color="00629B"/>
            </w:tcBorders>
          </w:tcPr>
          <w:p w14:paraId="398F79B9" w14:textId="77777777" w:rsidR="00797C1A" w:rsidRPr="00FB1288" w:rsidRDefault="00797C1A" w:rsidP="005A1AFA">
            <w:pPr>
              <w:pStyle w:val="BDandAS"/>
              <w:spacing w:line="276" w:lineRule="auto"/>
              <w:rPr>
                <w:rFonts w:cs="Arial"/>
                <w:szCs w:val="20"/>
              </w:rPr>
            </w:pPr>
            <w:r w:rsidRPr="00FB1288">
              <w:rPr>
                <w:rFonts w:cs="Arial"/>
                <w:szCs w:val="20"/>
              </w:rPr>
              <w:t xml:space="preserve">By the end of Year 8, students analyse representations in media arts works. They articulate use of media languages and media technologies in representations. They describe and discuss the implications of responsible media practices for institutions, makers and audiences. </w:t>
            </w:r>
          </w:p>
          <w:p w14:paraId="503D6FC5" w14:textId="77777777" w:rsidR="00797C1A" w:rsidRPr="00FB1288" w:rsidRDefault="00797C1A" w:rsidP="005A1AFA">
            <w:pPr>
              <w:spacing w:after="120" w:line="276" w:lineRule="auto"/>
              <w:rPr>
                <w:rFonts w:ascii="Arial" w:hAnsi="Arial" w:cs="Arial"/>
                <w:sz w:val="20"/>
                <w:szCs w:val="20"/>
              </w:rPr>
            </w:pPr>
            <w:r w:rsidRPr="00FB1288">
              <w:rPr>
                <w:rFonts w:ascii="Arial" w:hAnsi="Arial" w:cs="Arial"/>
                <w:sz w:val="20"/>
                <w:szCs w:val="20"/>
              </w:rPr>
              <w:t>Students select and manipulate media languages, technologies and production processes to collaboratively produce representations that communicate ideas and meanings. They plan where and how they could distribute their work and the relationships they seek to develop with their audiences. They use responsible media practice to distribute their work and analyse audience interactions with the work.</w:t>
            </w:r>
          </w:p>
        </w:tc>
        <w:tc>
          <w:tcPr>
            <w:tcW w:w="9630" w:type="dxa"/>
            <w:tcBorders>
              <w:left w:val="single" w:sz="4" w:space="0" w:color="00629B"/>
              <w:right w:val="single" w:sz="18" w:space="0" w:color="0067B4"/>
            </w:tcBorders>
          </w:tcPr>
          <w:p w14:paraId="5FF5AFEE" w14:textId="77777777" w:rsidR="00797C1A" w:rsidRPr="00FB1288" w:rsidRDefault="00797C1A" w:rsidP="005A1AFA">
            <w:pPr>
              <w:pStyle w:val="BDandAS"/>
              <w:spacing w:line="276" w:lineRule="auto"/>
              <w:rPr>
                <w:rFonts w:cs="Arial"/>
                <w:szCs w:val="20"/>
              </w:rPr>
            </w:pPr>
            <w:r w:rsidRPr="00FB1288">
              <w:rPr>
                <w:rFonts w:cs="Arial"/>
                <w:szCs w:val="20"/>
              </w:rPr>
              <w:t>By the end of Year 10, students analyse and evaluate media artists’ use of media languages and technologies to construct representations and communicate with audiences. They describe relationships embedded within everyday media practices and discuss how media arts works and institutions can influence or challenge media practices. They describe the safe, ethical and responsible use of technologies, tools and associated processes in media production and distribution.</w:t>
            </w:r>
          </w:p>
          <w:p w14:paraId="6F6B35B8" w14:textId="77777777" w:rsidR="00797C1A" w:rsidRPr="00FB1288" w:rsidRDefault="00797C1A" w:rsidP="005A1AFA">
            <w:pPr>
              <w:keepNext/>
              <w:widowControl w:val="0"/>
              <w:spacing w:after="120" w:line="276" w:lineRule="auto"/>
              <w:rPr>
                <w:rFonts w:ascii="Arial" w:hAnsi="Arial" w:cs="Arial"/>
                <w:sz w:val="20"/>
                <w:szCs w:val="20"/>
              </w:rPr>
            </w:pPr>
            <w:r w:rsidRPr="00FB1288">
              <w:rPr>
                <w:rFonts w:ascii="Arial" w:hAnsi="Arial" w:cs="Arial"/>
                <w:sz w:val="20"/>
                <w:szCs w:val="20"/>
              </w:rPr>
              <w:t>Students make deliberate choices about how they will use and manipulate media languages and technologies to construct representations to communicate ideas and meanings for specific audiences and contexts. They use pre-production, production and post-production tools and processes to manipulate media languages and technologies. They build relationships and interact with audiences using responsible media practice.</w:t>
            </w:r>
          </w:p>
        </w:tc>
      </w:tr>
      <w:tr w:rsidR="00B2789C" w:rsidRPr="00FB1288" w14:paraId="4C679932" w14:textId="77777777" w:rsidTr="005A1AFA">
        <w:trPr>
          <w:trHeight w:val="624"/>
        </w:trPr>
        <w:tc>
          <w:tcPr>
            <w:tcW w:w="1350" w:type="dxa"/>
            <w:tcBorders>
              <w:left w:val="single" w:sz="18" w:space="0" w:color="365F91" w:themeColor="accent1" w:themeShade="BF"/>
              <w:right w:val="single" w:sz="4" w:space="0" w:color="00629B"/>
            </w:tcBorders>
            <w:shd w:val="clear" w:color="auto" w:fill="C2D69B" w:themeFill="accent3" w:themeFillTint="99"/>
            <w:vAlign w:val="center"/>
          </w:tcPr>
          <w:p w14:paraId="283CA0F1" w14:textId="77777777" w:rsidR="0009616A" w:rsidRPr="00FB1288" w:rsidRDefault="0009616A" w:rsidP="00C23FA7">
            <w:pPr>
              <w:jc w:val="center"/>
              <w:rPr>
                <w:rFonts w:ascii="Arial" w:hAnsi="Arial" w:cs="Arial"/>
                <w:sz w:val="20"/>
                <w:szCs w:val="20"/>
              </w:rPr>
            </w:pPr>
            <w:r w:rsidRPr="00FB1288">
              <w:rPr>
                <w:rFonts w:ascii="Arial" w:hAnsi="Arial" w:cs="Arial"/>
                <w:b/>
              </w:rPr>
              <w:t xml:space="preserve">Strand </w:t>
            </w:r>
          </w:p>
        </w:tc>
        <w:tc>
          <w:tcPr>
            <w:tcW w:w="19170" w:type="dxa"/>
            <w:gridSpan w:val="2"/>
            <w:tcBorders>
              <w:left w:val="single" w:sz="4" w:space="0" w:color="00629B"/>
              <w:right w:val="single" w:sz="18" w:space="0" w:color="0067B4"/>
            </w:tcBorders>
            <w:shd w:val="clear" w:color="auto" w:fill="365F91" w:themeFill="accent1" w:themeFillShade="BF"/>
          </w:tcPr>
          <w:p w14:paraId="38F70A81" w14:textId="77777777" w:rsidR="0009616A" w:rsidRPr="00FB1288" w:rsidRDefault="0009616A" w:rsidP="00620C85">
            <w:pPr>
              <w:pStyle w:val="Tableheading12white"/>
              <w:spacing w:before="0" w:after="0"/>
            </w:pPr>
            <w:r w:rsidRPr="00FB1288">
              <w:t>Content description</w:t>
            </w:r>
          </w:p>
          <w:p w14:paraId="785ABF3E" w14:textId="77777777" w:rsidR="0009616A" w:rsidRPr="00FB1288" w:rsidRDefault="0009616A" w:rsidP="00620C85">
            <w:pPr>
              <w:keepNext/>
              <w:widowControl w:val="0"/>
              <w:jc w:val="center"/>
              <w:rPr>
                <w:rFonts w:ascii="Arial" w:hAnsi="Arial" w:cs="Arial"/>
                <w:sz w:val="20"/>
                <w:szCs w:val="20"/>
              </w:rPr>
            </w:pPr>
            <w:r w:rsidRPr="00FB1288">
              <w:rPr>
                <w:rFonts w:ascii="Arial" w:hAnsi="Arial" w:cs="Arial"/>
                <w:bCs/>
                <w:i/>
                <w:color w:val="FFFFFF" w:themeColor="background1"/>
                <w:sz w:val="20"/>
                <w:szCs w:val="20"/>
              </w:rPr>
              <w:t>Students learn to:</w:t>
            </w:r>
          </w:p>
        </w:tc>
      </w:tr>
      <w:tr w:rsidR="00797C1A" w:rsidRPr="00FB1288" w14:paraId="2744C6A6" w14:textId="77777777" w:rsidTr="00797C1A">
        <w:trPr>
          <w:trHeight w:val="943"/>
        </w:trPr>
        <w:tc>
          <w:tcPr>
            <w:tcW w:w="1350" w:type="dxa"/>
            <w:vMerge w:val="restart"/>
            <w:tcBorders>
              <w:top w:val="single" w:sz="4" w:space="0" w:color="00629B"/>
              <w:left w:val="single" w:sz="18" w:space="0" w:color="00629B"/>
              <w:right w:val="single" w:sz="4" w:space="0" w:color="0067B4"/>
            </w:tcBorders>
            <w:shd w:val="clear" w:color="auto" w:fill="D6E3BC" w:themeFill="accent3" w:themeFillTint="66"/>
            <w:textDirection w:val="btLr"/>
            <w:vAlign w:val="center"/>
          </w:tcPr>
          <w:p w14:paraId="3D6CEDC1" w14:textId="77777777" w:rsidR="00797C1A" w:rsidRPr="00FB1288" w:rsidRDefault="00797C1A" w:rsidP="00C23FA7">
            <w:pPr>
              <w:ind w:left="113" w:right="113"/>
              <w:jc w:val="center"/>
              <w:rPr>
                <w:rFonts w:ascii="Arial" w:hAnsi="Arial" w:cs="Arial"/>
                <w:b/>
                <w:bCs/>
              </w:rPr>
            </w:pPr>
            <w:r w:rsidRPr="00FB1288">
              <w:rPr>
                <w:rFonts w:ascii="Arial" w:hAnsi="Arial" w:cs="Arial"/>
                <w:b/>
              </w:rPr>
              <w:t>Exploring and connecting</w:t>
            </w:r>
          </w:p>
        </w:tc>
        <w:tc>
          <w:tcPr>
            <w:tcW w:w="9540" w:type="dxa"/>
            <w:tcBorders>
              <w:left w:val="single" w:sz="4" w:space="0" w:color="0067B4"/>
              <w:bottom w:val="single" w:sz="4" w:space="0" w:color="auto"/>
              <w:right w:val="single" w:sz="4" w:space="0" w:color="00629B"/>
            </w:tcBorders>
          </w:tcPr>
          <w:p w14:paraId="75AE6C19" w14:textId="77777777" w:rsidR="00797C1A" w:rsidRPr="00FB1288" w:rsidRDefault="00797C1A" w:rsidP="005A1AFA">
            <w:pPr>
              <w:spacing w:after="120" w:line="276" w:lineRule="auto"/>
              <w:rPr>
                <w:rFonts w:ascii="Arial" w:hAnsi="Arial" w:cs="Arial"/>
                <w:sz w:val="20"/>
                <w:szCs w:val="20"/>
              </w:rPr>
            </w:pPr>
            <w:proofErr w:type="spellStart"/>
            <w:r w:rsidRPr="00FB1288">
              <w:rPr>
                <w:rFonts w:ascii="Arial" w:hAnsi="Arial" w:cs="Arial"/>
                <w:sz w:val="20"/>
                <w:szCs w:val="20"/>
              </w:rPr>
              <w:t>analyse</w:t>
            </w:r>
            <w:proofErr w:type="spellEnd"/>
            <w:r w:rsidRPr="00FB1288">
              <w:rPr>
                <w:rFonts w:ascii="Arial" w:hAnsi="Arial" w:cs="Arial"/>
                <w:sz w:val="20"/>
                <w:szCs w:val="20"/>
              </w:rPr>
              <w:t xml:space="preserve"> the ways that media conventions and technologies are used to construct representations influenced by story, genre, values, audience and purpose in media arts works across times and contexts </w:t>
            </w:r>
          </w:p>
          <w:p w14:paraId="16E9CFBF" w14:textId="4C550BB1" w:rsidR="00797C1A" w:rsidRPr="00FB1288" w:rsidRDefault="00797C1A" w:rsidP="005A1AFA">
            <w:pPr>
              <w:spacing w:after="120" w:line="276" w:lineRule="auto"/>
              <w:rPr>
                <w:rFonts w:ascii="Arial" w:eastAsia="Arial" w:hAnsi="Arial" w:cs="Arial"/>
                <w:sz w:val="20"/>
                <w:szCs w:val="20"/>
              </w:rPr>
            </w:pPr>
            <w:r w:rsidRPr="00FB1288">
              <w:rPr>
                <w:rFonts w:ascii="Arial" w:hAnsi="Arial" w:cs="Arial"/>
                <w:sz w:val="20"/>
                <w:szCs w:val="20"/>
              </w:rPr>
              <w:t>(</w:t>
            </w:r>
            <w:r w:rsidRPr="00FB1288">
              <w:rPr>
                <w:rFonts w:ascii="Arial" w:hAnsi="Arial" w:cs="Arial"/>
                <w:color w:val="000000"/>
                <w:sz w:val="20"/>
                <w:szCs w:val="20"/>
                <w:shd w:val="clear" w:color="auto" w:fill="FFFFFF"/>
              </w:rPr>
              <w:t>AC9AMA8</w:t>
            </w:r>
            <w:r w:rsidRPr="00FB1288">
              <w:rPr>
                <w:rFonts w:ascii="Arial" w:hAnsi="Arial" w:cs="Arial"/>
                <w:color w:val="000000"/>
                <w:sz w:val="20"/>
                <w:szCs w:val="20"/>
              </w:rPr>
              <w:t>E</w:t>
            </w:r>
            <w:r w:rsidRPr="00FB1288">
              <w:rPr>
                <w:rFonts w:ascii="Arial" w:hAnsi="Arial" w:cs="Arial"/>
                <w:color w:val="000000"/>
                <w:sz w:val="20"/>
                <w:szCs w:val="20"/>
                <w:shd w:val="clear" w:color="auto" w:fill="FFFFFF"/>
              </w:rPr>
              <w:t>01</w:t>
            </w:r>
            <w:r w:rsidRPr="00FB1288">
              <w:rPr>
                <w:rFonts w:ascii="Arial" w:hAnsi="Arial" w:cs="Arial"/>
                <w:sz w:val="20"/>
                <w:szCs w:val="20"/>
              </w:rPr>
              <w:t>)</w:t>
            </w:r>
          </w:p>
        </w:tc>
        <w:tc>
          <w:tcPr>
            <w:tcW w:w="9630" w:type="dxa"/>
            <w:tcBorders>
              <w:left w:val="single" w:sz="4" w:space="0" w:color="00629B"/>
              <w:bottom w:val="single" w:sz="4" w:space="0" w:color="auto"/>
              <w:right w:val="single" w:sz="18" w:space="0" w:color="0067B4"/>
            </w:tcBorders>
          </w:tcPr>
          <w:p w14:paraId="22D38291" w14:textId="4F3595E7" w:rsidR="00797C1A" w:rsidRPr="00FB1288" w:rsidRDefault="00797C1A" w:rsidP="005A1AFA">
            <w:pPr>
              <w:spacing w:after="120" w:line="276" w:lineRule="auto"/>
              <w:rPr>
                <w:rFonts w:ascii="Arial" w:hAnsi="Arial" w:cs="Arial"/>
                <w:sz w:val="20"/>
                <w:szCs w:val="20"/>
              </w:rPr>
            </w:pPr>
            <w:r w:rsidRPr="00FB1288">
              <w:rPr>
                <w:rFonts w:ascii="Arial" w:hAnsi="Arial" w:cs="Arial"/>
                <w:sz w:val="20"/>
                <w:szCs w:val="20"/>
              </w:rPr>
              <w:t>evaluate the impact of audiences and technologies on how media conventions are used in media arts works from all times and contexts to create and challenge representations framed by purpose, social beliefs and values (</w:t>
            </w:r>
            <w:r w:rsidRPr="00FB1288">
              <w:rPr>
                <w:rFonts w:ascii="Arial" w:hAnsi="Arial" w:cs="Arial"/>
                <w:color w:val="000000"/>
                <w:sz w:val="20"/>
                <w:szCs w:val="20"/>
                <w:shd w:val="clear" w:color="auto" w:fill="FFFFFF"/>
              </w:rPr>
              <w:t>AC9AMA10</w:t>
            </w:r>
            <w:r w:rsidRPr="00FB1288">
              <w:rPr>
                <w:rFonts w:ascii="Arial" w:hAnsi="Arial" w:cs="Arial"/>
                <w:color w:val="000000"/>
                <w:sz w:val="20"/>
                <w:szCs w:val="20"/>
              </w:rPr>
              <w:t>E</w:t>
            </w:r>
            <w:r w:rsidRPr="00FB1288">
              <w:rPr>
                <w:rFonts w:ascii="Arial" w:hAnsi="Arial" w:cs="Arial"/>
                <w:color w:val="000000"/>
                <w:sz w:val="20"/>
                <w:szCs w:val="20"/>
                <w:shd w:val="clear" w:color="auto" w:fill="FFFFFF"/>
              </w:rPr>
              <w:t>01</w:t>
            </w:r>
            <w:r w:rsidRPr="00FB1288">
              <w:rPr>
                <w:rFonts w:ascii="Arial" w:hAnsi="Arial" w:cs="Arial"/>
                <w:sz w:val="20"/>
                <w:szCs w:val="20"/>
              </w:rPr>
              <w:t>)</w:t>
            </w:r>
          </w:p>
        </w:tc>
      </w:tr>
      <w:tr w:rsidR="00797C1A" w:rsidRPr="00FB1288" w14:paraId="191FAEB9" w14:textId="77777777" w:rsidTr="00797C1A">
        <w:trPr>
          <w:trHeight w:val="962"/>
        </w:trPr>
        <w:tc>
          <w:tcPr>
            <w:tcW w:w="1350" w:type="dxa"/>
            <w:vMerge/>
            <w:tcBorders>
              <w:left w:val="single" w:sz="18" w:space="0" w:color="00629B"/>
              <w:bottom w:val="single" w:sz="18" w:space="0" w:color="00629B"/>
              <w:right w:val="single" w:sz="4" w:space="0" w:color="0067B4"/>
            </w:tcBorders>
            <w:vAlign w:val="center"/>
          </w:tcPr>
          <w:p w14:paraId="14859D35" w14:textId="77777777" w:rsidR="00797C1A" w:rsidRPr="00FB1288" w:rsidRDefault="00797C1A" w:rsidP="00C23FA7">
            <w:pPr>
              <w:jc w:val="center"/>
              <w:rPr>
                <w:rFonts w:ascii="Arial" w:hAnsi="Arial" w:cs="Arial"/>
                <w:b/>
              </w:rPr>
            </w:pPr>
          </w:p>
        </w:tc>
        <w:tc>
          <w:tcPr>
            <w:tcW w:w="9540" w:type="dxa"/>
            <w:tcBorders>
              <w:top w:val="single" w:sz="4" w:space="0" w:color="auto"/>
              <w:left w:val="single" w:sz="4" w:space="0" w:color="0067B4"/>
              <w:bottom w:val="single" w:sz="18" w:space="0" w:color="00629B"/>
              <w:right w:val="single" w:sz="4" w:space="0" w:color="00629B"/>
            </w:tcBorders>
          </w:tcPr>
          <w:p w14:paraId="64ECB7FE" w14:textId="3F23143A" w:rsidR="00797C1A" w:rsidRPr="00FB1288" w:rsidRDefault="00797C1A" w:rsidP="005A1AFA">
            <w:pPr>
              <w:pStyle w:val="CDandE"/>
              <w:spacing w:after="120" w:line="276" w:lineRule="auto"/>
              <w:rPr>
                <w:rFonts w:cs="Arial"/>
                <w:szCs w:val="20"/>
              </w:rPr>
            </w:pPr>
            <w:r w:rsidRPr="00FB1288">
              <w:rPr>
                <w:rFonts w:cs="Arial"/>
                <w:szCs w:val="20"/>
              </w:rPr>
              <w:t>research and apply best practice for respectfully selecting and using material in media arts works considering copyright and Indigenous Cultural Intellectual Property laws and protocols (</w:t>
            </w:r>
            <w:r w:rsidRPr="00FB1288">
              <w:rPr>
                <w:rFonts w:cs="Arial"/>
                <w:color w:val="000000"/>
                <w:szCs w:val="20"/>
                <w:shd w:val="clear" w:color="auto" w:fill="FFFFFF"/>
              </w:rPr>
              <w:t>AC9AMA8</w:t>
            </w:r>
            <w:r w:rsidRPr="00FB1288">
              <w:rPr>
                <w:rFonts w:cs="Arial"/>
                <w:color w:val="000000"/>
                <w:szCs w:val="20"/>
              </w:rPr>
              <w:t>E</w:t>
            </w:r>
            <w:r w:rsidRPr="00FB1288">
              <w:rPr>
                <w:rFonts w:cs="Arial"/>
                <w:color w:val="000000"/>
                <w:szCs w:val="20"/>
                <w:shd w:val="clear" w:color="auto" w:fill="FFFFFF"/>
              </w:rPr>
              <w:t>02</w:t>
            </w:r>
            <w:r w:rsidRPr="00FB1288">
              <w:rPr>
                <w:rFonts w:cs="Arial"/>
                <w:szCs w:val="20"/>
              </w:rPr>
              <w:t>)</w:t>
            </w:r>
          </w:p>
        </w:tc>
        <w:tc>
          <w:tcPr>
            <w:tcW w:w="9630" w:type="dxa"/>
            <w:tcBorders>
              <w:top w:val="single" w:sz="4" w:space="0" w:color="auto"/>
              <w:left w:val="single" w:sz="4" w:space="0" w:color="00629B"/>
              <w:bottom w:val="single" w:sz="18" w:space="0" w:color="00629B"/>
              <w:right w:val="single" w:sz="18" w:space="0" w:color="0067B4"/>
            </w:tcBorders>
          </w:tcPr>
          <w:p w14:paraId="685B7EE3" w14:textId="481AB291" w:rsidR="00797C1A" w:rsidRPr="00FB1288" w:rsidRDefault="00797C1A" w:rsidP="005A1AFA">
            <w:pPr>
              <w:pStyle w:val="CDandE"/>
              <w:spacing w:after="120" w:line="276" w:lineRule="auto"/>
              <w:rPr>
                <w:rFonts w:cs="Arial"/>
                <w:szCs w:val="20"/>
              </w:rPr>
            </w:pPr>
            <w:r w:rsidRPr="00FB1288">
              <w:rPr>
                <w:rFonts w:cs="Arial"/>
                <w:szCs w:val="20"/>
              </w:rPr>
              <w:t>evaluate the ways that contemporary media arts works and cultural expressions challenge, entrench and celebrate multiple perspectives of Australia's identity over time (</w:t>
            </w:r>
            <w:r w:rsidRPr="00FB1288">
              <w:rPr>
                <w:rFonts w:cs="Arial"/>
                <w:color w:val="000000"/>
                <w:szCs w:val="20"/>
                <w:shd w:val="clear" w:color="auto" w:fill="FFFFFF"/>
              </w:rPr>
              <w:t>AC9AMA10</w:t>
            </w:r>
            <w:r w:rsidRPr="00FB1288">
              <w:rPr>
                <w:rFonts w:cs="Arial"/>
                <w:color w:val="000000"/>
                <w:szCs w:val="20"/>
              </w:rPr>
              <w:t>E</w:t>
            </w:r>
            <w:r w:rsidRPr="00FB1288">
              <w:rPr>
                <w:rFonts w:cs="Arial"/>
                <w:color w:val="000000"/>
                <w:szCs w:val="20"/>
                <w:shd w:val="clear" w:color="auto" w:fill="FFFFFF"/>
              </w:rPr>
              <w:t>02</w:t>
            </w:r>
            <w:r w:rsidRPr="00FB1288">
              <w:rPr>
                <w:rFonts w:cs="Arial"/>
                <w:szCs w:val="20"/>
              </w:rPr>
              <w:t>)</w:t>
            </w:r>
          </w:p>
        </w:tc>
      </w:tr>
      <w:tr w:rsidR="00797C1A" w:rsidRPr="00FB1288" w14:paraId="26DAAD5D" w14:textId="77777777" w:rsidTr="00C23C92">
        <w:trPr>
          <w:cantSplit/>
          <w:trHeight w:val="743"/>
        </w:trPr>
        <w:tc>
          <w:tcPr>
            <w:tcW w:w="1350" w:type="dxa"/>
            <w:vMerge w:val="restart"/>
            <w:tcBorders>
              <w:top w:val="single" w:sz="18" w:space="0" w:color="00629B"/>
              <w:left w:val="single" w:sz="18" w:space="0" w:color="00629B"/>
              <w:right w:val="single" w:sz="4" w:space="0" w:color="0067B4"/>
            </w:tcBorders>
            <w:shd w:val="clear" w:color="auto" w:fill="D6E3BC" w:themeFill="accent3" w:themeFillTint="66"/>
            <w:textDirection w:val="btLr"/>
            <w:vAlign w:val="center"/>
          </w:tcPr>
          <w:p w14:paraId="6867A2EB" w14:textId="17534328" w:rsidR="00797C1A" w:rsidRPr="00FB1288" w:rsidRDefault="00797C1A" w:rsidP="0000122D">
            <w:pPr>
              <w:ind w:left="113" w:right="113"/>
              <w:jc w:val="center"/>
              <w:rPr>
                <w:rFonts w:ascii="Arial" w:eastAsia="Calibri" w:hAnsi="Arial" w:cs="Arial"/>
                <w:b/>
                <w:bCs/>
              </w:rPr>
            </w:pPr>
            <w:r w:rsidRPr="00FB1288">
              <w:rPr>
                <w:rFonts w:ascii="Arial" w:eastAsia="Calibri" w:hAnsi="Arial" w:cs="Arial"/>
                <w:b/>
                <w:bCs/>
              </w:rPr>
              <w:t>Developing skills, practice and ideas</w:t>
            </w:r>
          </w:p>
        </w:tc>
        <w:tc>
          <w:tcPr>
            <w:tcW w:w="9540" w:type="dxa"/>
            <w:tcBorders>
              <w:top w:val="single" w:sz="18" w:space="0" w:color="00629B"/>
              <w:left w:val="single" w:sz="4" w:space="0" w:color="0067B4"/>
              <w:bottom w:val="single" w:sz="4" w:space="0" w:color="auto"/>
              <w:right w:val="single" w:sz="4" w:space="0" w:color="00629B"/>
            </w:tcBorders>
            <w:shd w:val="clear" w:color="auto" w:fill="auto"/>
          </w:tcPr>
          <w:p w14:paraId="6AE1ED4E" w14:textId="77777777" w:rsidR="00797C1A" w:rsidRPr="00FB1288" w:rsidRDefault="00797C1A" w:rsidP="005A1AFA">
            <w:pPr>
              <w:pStyle w:val="CDandE"/>
              <w:spacing w:after="120" w:line="276" w:lineRule="auto"/>
              <w:rPr>
                <w:rFonts w:cs="Arial"/>
                <w:szCs w:val="20"/>
              </w:rPr>
            </w:pPr>
            <w:r w:rsidRPr="00FB1288">
              <w:rPr>
                <w:rFonts w:cs="Arial"/>
                <w:szCs w:val="20"/>
              </w:rPr>
              <w:t>experiment with ways to construct representations and structure stories using media conventions, media technologies and production processes (</w:t>
            </w:r>
            <w:r w:rsidRPr="00FB1288">
              <w:rPr>
                <w:rFonts w:cs="Arial"/>
                <w:color w:val="000000"/>
                <w:szCs w:val="20"/>
                <w:shd w:val="clear" w:color="auto" w:fill="FFFFFF"/>
              </w:rPr>
              <w:t>AC9AMA8</w:t>
            </w:r>
            <w:r w:rsidRPr="00FB1288">
              <w:rPr>
                <w:rFonts w:cs="Arial"/>
                <w:color w:val="000000"/>
                <w:szCs w:val="20"/>
              </w:rPr>
              <w:t>P</w:t>
            </w:r>
            <w:r w:rsidRPr="00FB1288">
              <w:rPr>
                <w:rFonts w:cs="Arial"/>
                <w:color w:val="000000"/>
                <w:szCs w:val="20"/>
                <w:shd w:val="clear" w:color="auto" w:fill="FFFFFF"/>
              </w:rPr>
              <w:t>01</w:t>
            </w:r>
            <w:r w:rsidRPr="00FB1288">
              <w:rPr>
                <w:rFonts w:cs="Arial"/>
                <w:szCs w:val="20"/>
              </w:rPr>
              <w:t xml:space="preserve">) </w:t>
            </w:r>
          </w:p>
        </w:tc>
        <w:tc>
          <w:tcPr>
            <w:tcW w:w="9630" w:type="dxa"/>
            <w:tcBorders>
              <w:top w:val="single" w:sz="18" w:space="0" w:color="00629B"/>
              <w:left w:val="single" w:sz="4" w:space="0" w:color="00629B"/>
              <w:bottom w:val="single" w:sz="4" w:space="0" w:color="auto"/>
              <w:right w:val="single" w:sz="18" w:space="0" w:color="0067B4"/>
            </w:tcBorders>
            <w:shd w:val="clear" w:color="auto" w:fill="auto"/>
          </w:tcPr>
          <w:p w14:paraId="7859C4AA" w14:textId="77777777" w:rsidR="00797C1A" w:rsidRPr="00FB1288" w:rsidRDefault="00797C1A" w:rsidP="005A1AFA">
            <w:pPr>
              <w:pStyle w:val="CDandE"/>
              <w:spacing w:after="120" w:line="276" w:lineRule="auto"/>
              <w:rPr>
                <w:rFonts w:cs="Arial"/>
                <w:szCs w:val="20"/>
              </w:rPr>
            </w:pPr>
            <w:r w:rsidRPr="00FB1288">
              <w:rPr>
                <w:rFonts w:cs="Arial"/>
                <w:szCs w:val="20"/>
              </w:rPr>
              <w:t>experiment with personal style and media conventions using media technologies and production processes to construct representations (</w:t>
            </w:r>
            <w:r w:rsidRPr="00FB1288">
              <w:rPr>
                <w:rFonts w:cs="Arial"/>
                <w:color w:val="000000"/>
                <w:szCs w:val="20"/>
                <w:shd w:val="clear" w:color="auto" w:fill="FFFFFF"/>
              </w:rPr>
              <w:t>AC9AMA10</w:t>
            </w:r>
            <w:r w:rsidRPr="00FB1288">
              <w:rPr>
                <w:rFonts w:cs="Arial"/>
                <w:color w:val="000000"/>
                <w:szCs w:val="20"/>
              </w:rPr>
              <w:t>P</w:t>
            </w:r>
            <w:r w:rsidRPr="00FB1288">
              <w:rPr>
                <w:rFonts w:cs="Arial"/>
                <w:color w:val="000000"/>
                <w:szCs w:val="20"/>
                <w:shd w:val="clear" w:color="auto" w:fill="FFFFFF"/>
              </w:rPr>
              <w:t>01</w:t>
            </w:r>
            <w:r w:rsidRPr="00FB1288">
              <w:rPr>
                <w:rFonts w:cs="Arial"/>
                <w:szCs w:val="20"/>
              </w:rPr>
              <w:t>)</w:t>
            </w:r>
          </w:p>
        </w:tc>
      </w:tr>
      <w:tr w:rsidR="00797C1A" w:rsidRPr="00FB1288" w14:paraId="6CDFE3DB" w14:textId="77777777" w:rsidTr="00C23C92">
        <w:trPr>
          <w:cantSplit/>
          <w:trHeight w:val="894"/>
        </w:trPr>
        <w:tc>
          <w:tcPr>
            <w:tcW w:w="1350" w:type="dxa"/>
            <w:vMerge/>
            <w:tcBorders>
              <w:left w:val="single" w:sz="18" w:space="0" w:color="00629B"/>
              <w:bottom w:val="single" w:sz="18" w:space="0" w:color="00629B"/>
              <w:right w:val="single" w:sz="4" w:space="0" w:color="0067B4"/>
            </w:tcBorders>
            <w:shd w:val="clear" w:color="auto" w:fill="D6E3BC" w:themeFill="accent3" w:themeFillTint="66"/>
            <w:textDirection w:val="btLr"/>
            <w:vAlign w:val="center"/>
          </w:tcPr>
          <w:p w14:paraId="2E398926" w14:textId="77777777" w:rsidR="00797C1A" w:rsidRPr="00FB1288" w:rsidRDefault="00797C1A" w:rsidP="00C23FA7">
            <w:pPr>
              <w:ind w:left="113" w:right="113"/>
              <w:jc w:val="center"/>
              <w:rPr>
                <w:rFonts w:ascii="Arial" w:eastAsia="Calibri" w:hAnsi="Arial" w:cs="Arial"/>
                <w:b/>
                <w:bCs/>
              </w:rPr>
            </w:pPr>
          </w:p>
        </w:tc>
        <w:tc>
          <w:tcPr>
            <w:tcW w:w="9540" w:type="dxa"/>
            <w:tcBorders>
              <w:top w:val="single" w:sz="4" w:space="0" w:color="auto"/>
              <w:left w:val="single" w:sz="4" w:space="0" w:color="0067B4"/>
              <w:bottom w:val="single" w:sz="18" w:space="0" w:color="00629B"/>
              <w:right w:val="single" w:sz="4" w:space="0" w:color="00629B"/>
            </w:tcBorders>
            <w:shd w:val="clear" w:color="auto" w:fill="auto"/>
          </w:tcPr>
          <w:p w14:paraId="704F51C4" w14:textId="77777777" w:rsidR="00797C1A" w:rsidRPr="00FB1288" w:rsidRDefault="00797C1A" w:rsidP="005A1AFA">
            <w:pPr>
              <w:pStyle w:val="CDandE"/>
              <w:spacing w:after="120" w:line="276" w:lineRule="auto"/>
              <w:rPr>
                <w:rFonts w:cs="Arial"/>
                <w:szCs w:val="20"/>
              </w:rPr>
            </w:pPr>
            <w:r w:rsidRPr="00FB1288">
              <w:rPr>
                <w:rFonts w:cs="Arial"/>
                <w:szCs w:val="20"/>
              </w:rPr>
              <w:t>develop and refine production skills to shape media conventions using images, sounds, text or animation to communicate intended meanings (</w:t>
            </w:r>
            <w:r w:rsidRPr="00FB1288">
              <w:rPr>
                <w:rFonts w:cs="Arial"/>
                <w:color w:val="000000"/>
                <w:szCs w:val="20"/>
                <w:shd w:val="clear" w:color="auto" w:fill="FFFFFF"/>
              </w:rPr>
              <w:t>AC9AMA8</w:t>
            </w:r>
            <w:r w:rsidRPr="00FB1288">
              <w:rPr>
                <w:rFonts w:cs="Arial"/>
                <w:color w:val="000000"/>
                <w:szCs w:val="20"/>
              </w:rPr>
              <w:t>P</w:t>
            </w:r>
            <w:r w:rsidRPr="00FB1288">
              <w:rPr>
                <w:rFonts w:cs="Arial"/>
                <w:color w:val="000000"/>
                <w:szCs w:val="20"/>
                <w:shd w:val="clear" w:color="auto" w:fill="FFFFFF"/>
              </w:rPr>
              <w:t>02</w:t>
            </w:r>
            <w:r w:rsidRPr="00FB1288">
              <w:rPr>
                <w:rFonts w:cs="Arial"/>
                <w:szCs w:val="20"/>
              </w:rPr>
              <w:t>)</w:t>
            </w:r>
          </w:p>
        </w:tc>
        <w:tc>
          <w:tcPr>
            <w:tcW w:w="9630" w:type="dxa"/>
            <w:tcBorders>
              <w:top w:val="single" w:sz="4" w:space="0" w:color="auto"/>
              <w:left w:val="single" w:sz="4" w:space="0" w:color="00629B"/>
              <w:bottom w:val="single" w:sz="18" w:space="0" w:color="00629B"/>
              <w:right w:val="single" w:sz="18" w:space="0" w:color="0067B4"/>
            </w:tcBorders>
            <w:shd w:val="clear" w:color="auto" w:fill="auto"/>
          </w:tcPr>
          <w:p w14:paraId="2E00B9AD" w14:textId="77777777" w:rsidR="00797C1A" w:rsidRPr="00FB1288" w:rsidRDefault="00797C1A" w:rsidP="005A1AFA">
            <w:pPr>
              <w:pStyle w:val="CDandE"/>
              <w:spacing w:after="120" w:line="276" w:lineRule="auto"/>
              <w:rPr>
                <w:rFonts w:cs="Arial"/>
                <w:szCs w:val="20"/>
              </w:rPr>
            </w:pPr>
            <w:r w:rsidRPr="00FB1288">
              <w:rPr>
                <w:rFonts w:cs="Arial"/>
                <w:szCs w:val="20"/>
              </w:rPr>
              <w:t>develop and refine media production skills and ways to integrate and shape media conventions with images, sounds, text and animations (</w:t>
            </w:r>
            <w:r w:rsidRPr="00FB1288">
              <w:rPr>
                <w:rFonts w:cs="Arial"/>
                <w:color w:val="000000"/>
                <w:szCs w:val="20"/>
                <w:shd w:val="clear" w:color="auto" w:fill="FFFFFF"/>
              </w:rPr>
              <w:t>AC9AMA10</w:t>
            </w:r>
            <w:r w:rsidRPr="00FB1288">
              <w:rPr>
                <w:rFonts w:cs="Arial"/>
                <w:color w:val="000000"/>
                <w:szCs w:val="20"/>
              </w:rPr>
              <w:t>P</w:t>
            </w:r>
            <w:r w:rsidRPr="00FB1288">
              <w:rPr>
                <w:rFonts w:cs="Arial"/>
                <w:color w:val="000000"/>
                <w:szCs w:val="20"/>
                <w:shd w:val="clear" w:color="auto" w:fill="FFFFFF"/>
              </w:rPr>
              <w:t>02</w:t>
            </w:r>
            <w:r w:rsidRPr="00FB1288">
              <w:rPr>
                <w:rFonts w:cs="Arial"/>
                <w:szCs w:val="20"/>
              </w:rPr>
              <w:t>)</w:t>
            </w:r>
          </w:p>
        </w:tc>
      </w:tr>
      <w:tr w:rsidR="00797C1A" w:rsidRPr="00FB1288" w14:paraId="33A91232" w14:textId="77777777" w:rsidTr="00C23C92">
        <w:tblPrEx>
          <w:tblCellMar>
            <w:top w:w="0" w:type="dxa"/>
            <w:bottom w:w="0" w:type="dxa"/>
          </w:tblCellMar>
        </w:tblPrEx>
        <w:trPr>
          <w:cantSplit/>
          <w:trHeight w:val="690"/>
        </w:trPr>
        <w:tc>
          <w:tcPr>
            <w:tcW w:w="1350" w:type="dxa"/>
            <w:vMerge w:val="restart"/>
            <w:tcBorders>
              <w:top w:val="single" w:sz="18" w:space="0" w:color="00629B"/>
              <w:left w:val="single" w:sz="18" w:space="0" w:color="00629B"/>
              <w:right w:val="single" w:sz="4" w:space="0" w:color="0067B4"/>
            </w:tcBorders>
            <w:shd w:val="clear" w:color="auto" w:fill="D6E3BC" w:themeFill="accent3" w:themeFillTint="66"/>
            <w:textDirection w:val="btLr"/>
            <w:vAlign w:val="center"/>
          </w:tcPr>
          <w:p w14:paraId="643549BC" w14:textId="28E5046D" w:rsidR="00797C1A" w:rsidRPr="00FB1288" w:rsidRDefault="00797C1A" w:rsidP="00C23FA7">
            <w:pPr>
              <w:ind w:left="113" w:right="113"/>
              <w:jc w:val="center"/>
              <w:rPr>
                <w:rFonts w:ascii="Arial" w:eastAsia="Calibri" w:hAnsi="Arial" w:cs="Arial"/>
                <w:b/>
                <w:bCs/>
              </w:rPr>
            </w:pPr>
            <w:r w:rsidRPr="00FB1288">
              <w:rPr>
                <w:rFonts w:ascii="Arial" w:eastAsia="Calibri" w:hAnsi="Arial" w:cs="Arial"/>
                <w:b/>
                <w:bCs/>
              </w:rPr>
              <w:t>Creating</w:t>
            </w:r>
          </w:p>
        </w:tc>
        <w:tc>
          <w:tcPr>
            <w:tcW w:w="9540" w:type="dxa"/>
            <w:tcBorders>
              <w:top w:val="single" w:sz="18" w:space="0" w:color="00629B"/>
              <w:left w:val="single" w:sz="4" w:space="0" w:color="0067B4"/>
              <w:bottom w:val="single" w:sz="4" w:space="0" w:color="auto"/>
              <w:right w:val="single" w:sz="4" w:space="0" w:color="00629B"/>
            </w:tcBorders>
            <w:shd w:val="clear" w:color="auto" w:fill="auto"/>
          </w:tcPr>
          <w:p w14:paraId="6B5A90D4" w14:textId="77777777" w:rsidR="00797C1A" w:rsidRPr="00FB1288" w:rsidRDefault="00797C1A" w:rsidP="00C23FA7">
            <w:pPr>
              <w:spacing w:line="276" w:lineRule="auto"/>
              <w:rPr>
                <w:rFonts w:ascii="Arial" w:hAnsi="Arial" w:cs="Arial"/>
                <w:color w:val="000000"/>
                <w:sz w:val="20"/>
                <w:szCs w:val="20"/>
              </w:rPr>
            </w:pPr>
            <w:r w:rsidRPr="00FB1288">
              <w:rPr>
                <w:rFonts w:ascii="Arial" w:hAnsi="Arial" w:cs="Arial"/>
                <w:sz w:val="20"/>
                <w:szCs w:val="20"/>
              </w:rPr>
              <w:t xml:space="preserve">plan, structure and design media arts </w:t>
            </w:r>
            <w:proofErr w:type="gramStart"/>
            <w:r w:rsidRPr="00FB1288">
              <w:rPr>
                <w:rFonts w:ascii="Arial" w:hAnsi="Arial" w:cs="Arial"/>
                <w:sz w:val="20"/>
                <w:szCs w:val="20"/>
              </w:rPr>
              <w:t>works</w:t>
            </w:r>
            <w:proofErr w:type="gramEnd"/>
            <w:r w:rsidRPr="00FB1288">
              <w:rPr>
                <w:rFonts w:ascii="Arial" w:hAnsi="Arial" w:cs="Arial"/>
                <w:sz w:val="20"/>
                <w:szCs w:val="20"/>
              </w:rPr>
              <w:t xml:space="preserve"> to engage audiences (</w:t>
            </w:r>
            <w:r w:rsidRPr="00FB1288">
              <w:rPr>
                <w:rFonts w:ascii="Arial" w:hAnsi="Arial" w:cs="Arial"/>
                <w:color w:val="000000"/>
                <w:sz w:val="20"/>
                <w:szCs w:val="20"/>
                <w:shd w:val="clear" w:color="auto" w:fill="FFFFFF"/>
              </w:rPr>
              <w:t>AC9AMA8</w:t>
            </w:r>
            <w:r w:rsidRPr="00FB1288">
              <w:rPr>
                <w:rFonts w:ascii="Arial" w:hAnsi="Arial" w:cs="Arial"/>
                <w:color w:val="000000"/>
                <w:sz w:val="20"/>
                <w:szCs w:val="20"/>
              </w:rPr>
              <w:t>C</w:t>
            </w:r>
            <w:r w:rsidRPr="00FB1288">
              <w:rPr>
                <w:rFonts w:ascii="Arial" w:hAnsi="Arial" w:cs="Arial"/>
                <w:color w:val="000000"/>
                <w:sz w:val="20"/>
                <w:szCs w:val="20"/>
                <w:shd w:val="clear" w:color="auto" w:fill="FFFFFF"/>
              </w:rPr>
              <w:t>01</w:t>
            </w:r>
            <w:r w:rsidRPr="00FB1288">
              <w:rPr>
                <w:rFonts w:ascii="Arial" w:hAnsi="Arial" w:cs="Arial"/>
                <w:sz w:val="20"/>
                <w:szCs w:val="20"/>
              </w:rPr>
              <w:t>)</w:t>
            </w:r>
          </w:p>
        </w:tc>
        <w:tc>
          <w:tcPr>
            <w:tcW w:w="9630" w:type="dxa"/>
            <w:tcBorders>
              <w:top w:val="single" w:sz="18" w:space="0" w:color="00629B"/>
              <w:left w:val="single" w:sz="4" w:space="0" w:color="00629B"/>
              <w:right w:val="single" w:sz="18" w:space="0" w:color="0067B4"/>
            </w:tcBorders>
            <w:shd w:val="clear" w:color="auto" w:fill="auto"/>
          </w:tcPr>
          <w:p w14:paraId="0C730590" w14:textId="3BAD6E5D" w:rsidR="00797C1A" w:rsidRPr="00FB1288" w:rsidRDefault="00797C1A" w:rsidP="00C1372D">
            <w:pPr>
              <w:pStyle w:val="CDandE"/>
              <w:spacing w:line="276" w:lineRule="auto"/>
              <w:rPr>
                <w:rFonts w:cs="Arial"/>
                <w:szCs w:val="20"/>
              </w:rPr>
            </w:pPr>
            <w:r w:rsidRPr="00FB1288">
              <w:rPr>
                <w:rFonts w:cs="Arial"/>
                <w:szCs w:val="20"/>
              </w:rPr>
              <w:t xml:space="preserve">plan and design media arts </w:t>
            </w:r>
            <w:proofErr w:type="gramStart"/>
            <w:r w:rsidRPr="00FB1288">
              <w:rPr>
                <w:rFonts w:cs="Arial"/>
                <w:szCs w:val="20"/>
              </w:rPr>
              <w:t>works</w:t>
            </w:r>
            <w:proofErr w:type="gramEnd"/>
            <w:r w:rsidRPr="00FB1288">
              <w:rPr>
                <w:rFonts w:cs="Arial"/>
                <w:szCs w:val="20"/>
              </w:rPr>
              <w:t xml:space="preserve"> that examine and communicate values, themes and ideas (</w:t>
            </w:r>
            <w:r w:rsidRPr="00FB1288">
              <w:rPr>
                <w:rFonts w:cs="Arial"/>
                <w:color w:val="000000"/>
                <w:szCs w:val="20"/>
                <w:shd w:val="clear" w:color="auto" w:fill="FFFFFF"/>
              </w:rPr>
              <w:t>AC9AMA10</w:t>
            </w:r>
            <w:r w:rsidRPr="00FB1288">
              <w:rPr>
                <w:rFonts w:cs="Arial"/>
                <w:color w:val="000000"/>
                <w:szCs w:val="20"/>
              </w:rPr>
              <w:t>C</w:t>
            </w:r>
            <w:r w:rsidRPr="00FB1288">
              <w:rPr>
                <w:rFonts w:cs="Arial"/>
                <w:color w:val="000000"/>
                <w:szCs w:val="20"/>
                <w:shd w:val="clear" w:color="auto" w:fill="FFFFFF"/>
              </w:rPr>
              <w:t>01</w:t>
            </w:r>
            <w:r w:rsidRPr="00FB1288">
              <w:rPr>
                <w:rFonts w:cs="Arial"/>
                <w:szCs w:val="20"/>
              </w:rPr>
              <w:t>)</w:t>
            </w:r>
          </w:p>
        </w:tc>
      </w:tr>
      <w:tr w:rsidR="00797C1A" w:rsidRPr="00FB1288" w14:paraId="0D87AA24" w14:textId="77777777" w:rsidTr="00C23C92">
        <w:tblPrEx>
          <w:tblCellMar>
            <w:top w:w="0" w:type="dxa"/>
            <w:bottom w:w="0" w:type="dxa"/>
          </w:tblCellMar>
        </w:tblPrEx>
        <w:trPr>
          <w:cantSplit/>
          <w:trHeight w:val="626"/>
        </w:trPr>
        <w:tc>
          <w:tcPr>
            <w:tcW w:w="1350" w:type="dxa"/>
            <w:vMerge/>
            <w:tcBorders>
              <w:left w:val="single" w:sz="18" w:space="0" w:color="00629B"/>
              <w:bottom w:val="single" w:sz="18" w:space="0" w:color="00629B"/>
              <w:right w:val="single" w:sz="4" w:space="0" w:color="0067B4"/>
            </w:tcBorders>
            <w:shd w:val="clear" w:color="auto" w:fill="D6E3BC" w:themeFill="accent3" w:themeFillTint="66"/>
            <w:textDirection w:val="btLr"/>
          </w:tcPr>
          <w:p w14:paraId="782BDA6F" w14:textId="77777777" w:rsidR="00797C1A" w:rsidRPr="00FB1288" w:rsidRDefault="00797C1A" w:rsidP="00C23FA7">
            <w:pPr>
              <w:ind w:left="113" w:right="113"/>
              <w:jc w:val="center"/>
              <w:rPr>
                <w:rFonts w:ascii="Arial" w:eastAsia="Calibri" w:hAnsi="Arial" w:cs="Arial"/>
                <w:b/>
                <w:bCs/>
              </w:rPr>
            </w:pPr>
          </w:p>
        </w:tc>
        <w:tc>
          <w:tcPr>
            <w:tcW w:w="9540" w:type="dxa"/>
            <w:tcBorders>
              <w:top w:val="single" w:sz="4" w:space="0" w:color="auto"/>
              <w:left w:val="single" w:sz="4" w:space="0" w:color="0067B4"/>
              <w:bottom w:val="single" w:sz="18" w:space="0" w:color="00629B"/>
              <w:right w:val="single" w:sz="4" w:space="0" w:color="00629B"/>
            </w:tcBorders>
            <w:shd w:val="clear" w:color="auto" w:fill="auto"/>
          </w:tcPr>
          <w:p w14:paraId="381AF5C7" w14:textId="6D535B8E" w:rsidR="00797C1A" w:rsidRPr="00FB1288" w:rsidRDefault="00797C1A" w:rsidP="003D23ED">
            <w:pPr>
              <w:pStyle w:val="CDandE"/>
              <w:spacing w:line="276" w:lineRule="auto"/>
              <w:rPr>
                <w:rFonts w:eastAsia="Arial" w:cs="Arial"/>
                <w:szCs w:val="20"/>
              </w:rPr>
            </w:pPr>
            <w:r w:rsidRPr="00FB1288">
              <w:rPr>
                <w:rFonts w:cs="Arial"/>
                <w:szCs w:val="20"/>
              </w:rPr>
              <w:t xml:space="preserve">produce media arts works that communicate intentions, ideas and representations using responsible media practice </w:t>
            </w:r>
            <w:r w:rsidRPr="00FB1288">
              <w:rPr>
                <w:rFonts w:cs="Arial"/>
                <w:b/>
                <w:szCs w:val="20"/>
              </w:rPr>
              <w:t>(</w:t>
            </w:r>
            <w:r w:rsidRPr="00FB1288">
              <w:rPr>
                <w:rFonts w:cs="Arial"/>
                <w:color w:val="000000"/>
                <w:szCs w:val="20"/>
                <w:shd w:val="clear" w:color="auto" w:fill="FFFFFF"/>
              </w:rPr>
              <w:t>AC9AMA8</w:t>
            </w:r>
            <w:r w:rsidRPr="00FB1288">
              <w:rPr>
                <w:rFonts w:cs="Arial"/>
                <w:color w:val="000000"/>
                <w:szCs w:val="20"/>
              </w:rPr>
              <w:t>C</w:t>
            </w:r>
            <w:r w:rsidRPr="00FB1288">
              <w:rPr>
                <w:rFonts w:cs="Arial"/>
                <w:color w:val="000000"/>
                <w:szCs w:val="20"/>
                <w:shd w:val="clear" w:color="auto" w:fill="FFFFFF"/>
              </w:rPr>
              <w:t>02)</w:t>
            </w:r>
          </w:p>
        </w:tc>
        <w:tc>
          <w:tcPr>
            <w:tcW w:w="9630" w:type="dxa"/>
            <w:tcBorders>
              <w:left w:val="single" w:sz="4" w:space="0" w:color="00629B"/>
              <w:bottom w:val="single" w:sz="18" w:space="0" w:color="00629B"/>
              <w:right w:val="single" w:sz="18" w:space="0" w:color="0067B4"/>
            </w:tcBorders>
            <w:shd w:val="clear" w:color="auto" w:fill="auto"/>
          </w:tcPr>
          <w:p w14:paraId="7D53A902" w14:textId="13ED0A32" w:rsidR="00797C1A" w:rsidRPr="00FB1288" w:rsidRDefault="00797C1A" w:rsidP="00C1372D">
            <w:pPr>
              <w:pStyle w:val="CDandE"/>
              <w:spacing w:line="276" w:lineRule="auto"/>
              <w:rPr>
                <w:rFonts w:eastAsia="Arial" w:cs="Arial"/>
                <w:szCs w:val="20"/>
              </w:rPr>
            </w:pPr>
            <w:r w:rsidRPr="00FB1288">
              <w:rPr>
                <w:rFonts w:cs="Arial"/>
                <w:szCs w:val="20"/>
              </w:rPr>
              <w:t xml:space="preserve">produce media arts works that challenge the expectations of specific audiences using responsible media practice </w:t>
            </w:r>
            <w:r w:rsidRPr="00FB1288">
              <w:rPr>
                <w:rFonts w:cs="Arial"/>
                <w:bCs/>
                <w:szCs w:val="20"/>
              </w:rPr>
              <w:t>(</w:t>
            </w:r>
            <w:r w:rsidRPr="00FB1288">
              <w:rPr>
                <w:rFonts w:cs="Arial"/>
                <w:color w:val="000000"/>
                <w:szCs w:val="20"/>
                <w:shd w:val="clear" w:color="auto" w:fill="FFFFFF"/>
              </w:rPr>
              <w:t>AC9AMA10</w:t>
            </w:r>
            <w:r w:rsidRPr="00FB1288">
              <w:rPr>
                <w:rFonts w:cs="Arial"/>
                <w:color w:val="000000"/>
                <w:szCs w:val="20"/>
              </w:rPr>
              <w:t>C</w:t>
            </w:r>
            <w:r w:rsidRPr="00FB1288">
              <w:rPr>
                <w:rFonts w:cs="Arial"/>
                <w:color w:val="000000"/>
                <w:szCs w:val="20"/>
                <w:shd w:val="clear" w:color="auto" w:fill="FFFFFF"/>
              </w:rPr>
              <w:t>02)</w:t>
            </w:r>
          </w:p>
        </w:tc>
      </w:tr>
      <w:tr w:rsidR="00797C1A" w:rsidRPr="00FB1288" w14:paraId="1B6825D5" w14:textId="77777777" w:rsidTr="00C23C92">
        <w:tblPrEx>
          <w:tblCellMar>
            <w:top w:w="0" w:type="dxa"/>
            <w:bottom w:w="0" w:type="dxa"/>
          </w:tblCellMar>
        </w:tblPrEx>
        <w:trPr>
          <w:cantSplit/>
          <w:trHeight w:val="1887"/>
        </w:trPr>
        <w:tc>
          <w:tcPr>
            <w:tcW w:w="1350" w:type="dxa"/>
            <w:tcBorders>
              <w:top w:val="single" w:sz="18" w:space="0" w:color="00629B"/>
              <w:left w:val="single" w:sz="18" w:space="0" w:color="00629B"/>
              <w:bottom w:val="single" w:sz="18" w:space="0" w:color="00629B"/>
              <w:right w:val="single" w:sz="4" w:space="0" w:color="0067B4"/>
            </w:tcBorders>
            <w:shd w:val="clear" w:color="auto" w:fill="D6E3BC" w:themeFill="accent3" w:themeFillTint="66"/>
            <w:textDirection w:val="btLr"/>
            <w:vAlign w:val="center"/>
          </w:tcPr>
          <w:p w14:paraId="2896D6A9" w14:textId="7D7C816A" w:rsidR="00797C1A" w:rsidRPr="00FB1288" w:rsidRDefault="00797C1A" w:rsidP="00C23FA7">
            <w:pPr>
              <w:ind w:left="113" w:right="113"/>
              <w:jc w:val="center"/>
              <w:rPr>
                <w:rFonts w:ascii="Arial" w:eastAsia="Calibri" w:hAnsi="Arial" w:cs="Arial"/>
                <w:b/>
                <w:bCs/>
              </w:rPr>
            </w:pPr>
            <w:r w:rsidRPr="00FB1288">
              <w:rPr>
                <w:rFonts w:ascii="Arial" w:eastAsia="Calibri" w:hAnsi="Arial" w:cs="Arial"/>
                <w:b/>
                <w:bCs/>
              </w:rPr>
              <w:t xml:space="preserve">Sharing </w:t>
            </w:r>
            <w:r w:rsidRPr="00FB1288">
              <w:rPr>
                <w:rFonts w:ascii="Arial" w:eastAsia="Calibri" w:hAnsi="Arial" w:cs="Arial"/>
                <w:b/>
                <w:bCs/>
              </w:rPr>
              <w:br/>
              <w:t>and communicating</w:t>
            </w:r>
          </w:p>
        </w:tc>
        <w:tc>
          <w:tcPr>
            <w:tcW w:w="9540" w:type="dxa"/>
            <w:tcBorders>
              <w:top w:val="single" w:sz="18" w:space="0" w:color="00629B"/>
              <w:left w:val="single" w:sz="4" w:space="0" w:color="0067B4"/>
              <w:bottom w:val="single" w:sz="18" w:space="0" w:color="4F81BD" w:themeColor="accent1"/>
              <w:right w:val="single" w:sz="4" w:space="0" w:color="00629B"/>
            </w:tcBorders>
            <w:shd w:val="clear" w:color="auto" w:fill="auto"/>
          </w:tcPr>
          <w:p w14:paraId="3DB5D1FC" w14:textId="366EF3BF" w:rsidR="00797C1A" w:rsidRPr="00FB1288" w:rsidRDefault="00797C1A" w:rsidP="00C1372D">
            <w:pPr>
              <w:spacing w:line="276" w:lineRule="auto"/>
              <w:rPr>
                <w:rFonts w:ascii="Arial" w:eastAsia="Arial" w:hAnsi="Arial" w:cs="Arial"/>
                <w:sz w:val="20"/>
                <w:szCs w:val="20"/>
                <w:lang w:val="en-AU"/>
              </w:rPr>
            </w:pPr>
            <w:r w:rsidRPr="00FB1288">
              <w:rPr>
                <w:rFonts w:ascii="Arial" w:hAnsi="Arial" w:cs="Arial"/>
                <w:sz w:val="20"/>
                <w:szCs w:val="20"/>
              </w:rPr>
              <w:t>present media artworks to selected audiences using responsible media practice and monitor audience engagement and responses. (</w:t>
            </w:r>
            <w:r w:rsidRPr="00FB1288">
              <w:rPr>
                <w:rFonts w:ascii="Arial" w:hAnsi="Arial" w:cs="Arial"/>
                <w:color w:val="000000"/>
                <w:sz w:val="20"/>
                <w:szCs w:val="20"/>
                <w:shd w:val="clear" w:color="auto" w:fill="FFFFFF"/>
              </w:rPr>
              <w:t>AC9AMA8</w:t>
            </w:r>
            <w:r w:rsidRPr="00FB1288">
              <w:rPr>
                <w:rFonts w:ascii="Arial" w:hAnsi="Arial" w:cs="Arial"/>
                <w:color w:val="000000"/>
                <w:sz w:val="20"/>
                <w:szCs w:val="20"/>
              </w:rPr>
              <w:t>S</w:t>
            </w:r>
            <w:r w:rsidRPr="00FB1288">
              <w:rPr>
                <w:rFonts w:ascii="Arial" w:hAnsi="Arial" w:cs="Arial"/>
                <w:color w:val="000000"/>
                <w:sz w:val="20"/>
                <w:szCs w:val="20"/>
                <w:shd w:val="clear" w:color="auto" w:fill="FFFFFF"/>
              </w:rPr>
              <w:t>01</w:t>
            </w:r>
            <w:r w:rsidRPr="00FB1288">
              <w:rPr>
                <w:rFonts w:ascii="Arial" w:hAnsi="Arial" w:cs="Arial"/>
                <w:sz w:val="20"/>
                <w:szCs w:val="20"/>
              </w:rPr>
              <w:t>)</w:t>
            </w:r>
          </w:p>
        </w:tc>
        <w:tc>
          <w:tcPr>
            <w:tcW w:w="9630" w:type="dxa"/>
            <w:tcBorders>
              <w:top w:val="single" w:sz="18" w:space="0" w:color="00629B"/>
              <w:left w:val="single" w:sz="4" w:space="0" w:color="00629B"/>
              <w:bottom w:val="single" w:sz="18" w:space="0" w:color="4F81BD" w:themeColor="accent1"/>
              <w:right w:val="single" w:sz="18" w:space="0" w:color="4F81BD" w:themeColor="accent1"/>
            </w:tcBorders>
            <w:shd w:val="clear" w:color="auto" w:fill="auto"/>
          </w:tcPr>
          <w:p w14:paraId="03457A0E" w14:textId="47367308" w:rsidR="00797C1A" w:rsidRPr="00FB1288" w:rsidRDefault="00797C1A" w:rsidP="00C1372D">
            <w:pPr>
              <w:pStyle w:val="CDandE"/>
              <w:spacing w:line="276" w:lineRule="auto"/>
              <w:rPr>
                <w:rFonts w:eastAsia="Arial" w:cs="Arial"/>
                <w:szCs w:val="20"/>
              </w:rPr>
            </w:pPr>
            <w:r w:rsidRPr="00FB1288">
              <w:rPr>
                <w:rFonts w:cs="Arial"/>
                <w:szCs w:val="20"/>
              </w:rPr>
              <w:t>present and distribute media arts works for a range of personal, community and institutional contexts using responsible media practice (</w:t>
            </w:r>
            <w:r w:rsidRPr="00FB1288">
              <w:rPr>
                <w:rFonts w:cs="Arial"/>
                <w:color w:val="000000"/>
                <w:szCs w:val="20"/>
                <w:shd w:val="clear" w:color="auto" w:fill="FFFFFF"/>
              </w:rPr>
              <w:t>AC9AMA10</w:t>
            </w:r>
            <w:r w:rsidRPr="00FB1288">
              <w:rPr>
                <w:rFonts w:cs="Arial"/>
                <w:color w:val="000000"/>
                <w:szCs w:val="20"/>
              </w:rPr>
              <w:t>S</w:t>
            </w:r>
            <w:r w:rsidRPr="00FB1288">
              <w:rPr>
                <w:rFonts w:cs="Arial"/>
                <w:color w:val="000000"/>
                <w:szCs w:val="20"/>
                <w:shd w:val="clear" w:color="auto" w:fill="FFFFFF"/>
              </w:rPr>
              <w:t>01</w:t>
            </w:r>
            <w:r w:rsidRPr="00FB1288">
              <w:rPr>
                <w:rFonts w:cs="Arial"/>
                <w:szCs w:val="20"/>
              </w:rPr>
              <w:t>)</w:t>
            </w:r>
          </w:p>
        </w:tc>
      </w:tr>
    </w:tbl>
    <w:p w14:paraId="05801F72" w14:textId="77777777" w:rsidR="0009616A" w:rsidRPr="00FB1288" w:rsidRDefault="0009616A" w:rsidP="0009616A">
      <w:pPr>
        <w:rPr>
          <w:rFonts w:ascii="Arial" w:hAnsi="Arial" w:cs="Arial"/>
        </w:rPr>
      </w:pPr>
    </w:p>
    <w:sectPr w:rsidR="0009616A" w:rsidRPr="00FB1288" w:rsidSect="005A1AFA">
      <w:headerReference w:type="default" r:id="rId16"/>
      <w:footerReference w:type="default" r:id="rId17"/>
      <w:pgSz w:w="23814" w:h="16839" w:orient="landscape" w:code="8"/>
      <w:pgMar w:top="993" w:right="1440" w:bottom="1080" w:left="709"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527C8" w14:textId="77777777" w:rsidR="00485005" w:rsidRDefault="00485005" w:rsidP="00191E76">
      <w:pPr>
        <w:spacing w:after="0" w:line="240" w:lineRule="auto"/>
      </w:pPr>
      <w:r>
        <w:separator/>
      </w:r>
    </w:p>
  </w:endnote>
  <w:endnote w:type="continuationSeparator" w:id="0">
    <w:p w14:paraId="5033D457" w14:textId="77777777" w:rsidR="00485005" w:rsidRDefault="00485005" w:rsidP="00191E76">
      <w:pPr>
        <w:spacing w:after="0" w:line="240" w:lineRule="auto"/>
      </w:pPr>
      <w:r>
        <w:continuationSeparator/>
      </w:r>
    </w:p>
  </w:endnote>
  <w:endnote w:type="continuationNotice" w:id="1">
    <w:p w14:paraId="342D696C" w14:textId="77777777" w:rsidR="00485005" w:rsidRDefault="004850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B2BC" w14:textId="750AE11E" w:rsidR="00764033" w:rsidRDefault="007A3627">
    <w:pPr>
      <w:pStyle w:val="Footer"/>
    </w:pPr>
    <w:r>
      <w:rPr>
        <w:noProof/>
      </w:rPr>
      <mc:AlternateContent>
        <mc:Choice Requires="wps">
          <w:drawing>
            <wp:anchor distT="0" distB="0" distL="114300" distR="114300" simplePos="0" relativeHeight="251658241" behindDoc="0" locked="0" layoutInCell="1" allowOverlap="1" wp14:anchorId="074534C8" wp14:editId="1C0F3333">
              <wp:simplePos x="0" y="0"/>
              <wp:positionH relativeFrom="column">
                <wp:posOffset>1279192</wp:posOffset>
              </wp:positionH>
              <wp:positionV relativeFrom="paragraph">
                <wp:posOffset>-3696147</wp:posOffset>
              </wp:positionV>
              <wp:extent cx="11668539"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668539" cy="457200"/>
                      </a:xfrm>
                      <a:prstGeom prst="rect">
                        <a:avLst/>
                      </a:prstGeom>
                      <a:noFill/>
                      <a:ln w="6350">
                        <a:noFill/>
                      </a:ln>
                    </wps:spPr>
                    <wps:txbx>
                      <w:txbxContent>
                        <w:p w14:paraId="7B4426B0" w14:textId="69007C3F" w:rsidR="007A3627" w:rsidRPr="00532A58" w:rsidRDefault="007A3627" w:rsidP="007A3627">
                          <w:pPr>
                            <w:rPr>
                              <w:rFonts w:ascii="Helvetica" w:hAnsi="Helvetica"/>
                              <w:b/>
                              <w:bCs/>
                              <w:color w:val="000000" w:themeColor="text1"/>
                              <w:sz w:val="44"/>
                              <w:szCs w:val="44"/>
                            </w:rPr>
                          </w:pPr>
                          <w:r>
                            <w:rPr>
                              <w:rFonts w:ascii="Helvetica" w:hAnsi="Helvetica"/>
                              <w:b/>
                              <w:bCs/>
                              <w:sz w:val="44"/>
                              <w:szCs w:val="44"/>
                            </w:rPr>
                            <w:t>Scope and se</w:t>
                          </w:r>
                          <w:r w:rsidR="009E6E63">
                            <w:rPr>
                              <w:rFonts w:ascii="Helvetica" w:hAnsi="Helvetica"/>
                              <w:b/>
                              <w:bCs/>
                              <w:sz w:val="44"/>
                              <w:szCs w:val="44"/>
                            </w:rPr>
                            <w:t xml:space="preserve">quence </w:t>
                          </w:r>
                          <w:r w:rsidR="00F178CC">
                            <w:rPr>
                              <w:rFonts w:ascii="Helvetica" w:hAnsi="Helvetica"/>
                              <w:b/>
                              <w:bCs/>
                              <w:sz w:val="44"/>
                              <w:szCs w:val="44"/>
                            </w:rPr>
                            <w:t>7</w:t>
                          </w:r>
                          <w:r w:rsidR="009E6E63">
                            <w:rPr>
                              <w:rFonts w:ascii="Helvetica" w:hAnsi="Helvetica"/>
                              <w:b/>
                              <w:bCs/>
                              <w:sz w:val="44"/>
                              <w:szCs w:val="44"/>
                            </w:rPr>
                            <w:t>–10</w:t>
                          </w:r>
                          <w:r w:rsidR="00F178CC">
                            <w:rPr>
                              <w:rFonts w:ascii="Helvetica" w:hAnsi="Helvetica"/>
                              <w:b/>
                              <w:bCs/>
                              <w:sz w:val="44"/>
                              <w:szCs w:val="44"/>
                            </w:rPr>
                            <w:t xml:space="preserve"> Media 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534C8" id="_x0000_t202" coordsize="21600,21600" o:spt="202" path="m,l,21600r21600,l21600,xe">
              <v:stroke joinstyle="miter"/>
              <v:path gradientshapeok="t" o:connecttype="rect"/>
            </v:shapetype>
            <v:shape id="Text Box 6" o:spid="_x0000_s1026" type="#_x0000_t202" style="position:absolute;left:0;text-align:left;margin-left:100.7pt;margin-top:-291.05pt;width:918.8pt;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" filled="f" stroked="f" strokeweight=".5pt">
              <v:textbox>
                <w:txbxContent>
                  <w:p w14:paraId="7B4426B0" w14:textId="69007C3F" w:rsidR="007A3627" w:rsidRPr="00532A58" w:rsidRDefault="007A3627" w:rsidP="007A3627">
                    <w:pPr>
                      <w:rPr>
                        <w:rFonts w:ascii="Helvetica" w:hAnsi="Helvetica"/>
                        <w:b/>
                        <w:bCs/>
                        <w:color w:val="000000" w:themeColor="text1"/>
                        <w:sz w:val="44"/>
                        <w:szCs w:val="44"/>
                      </w:rPr>
                    </w:pPr>
                    <w:r>
                      <w:rPr>
                        <w:rFonts w:ascii="Helvetica" w:hAnsi="Helvetica"/>
                        <w:b/>
                        <w:bCs/>
                        <w:sz w:val="44"/>
                        <w:szCs w:val="44"/>
                      </w:rPr>
                      <w:t>Scope and se</w:t>
                    </w:r>
                    <w:r w:rsidR="009E6E63">
                      <w:rPr>
                        <w:rFonts w:ascii="Helvetica" w:hAnsi="Helvetica"/>
                        <w:b/>
                        <w:bCs/>
                        <w:sz w:val="44"/>
                        <w:szCs w:val="44"/>
                      </w:rPr>
                      <w:t xml:space="preserve">quence </w:t>
                    </w:r>
                    <w:r w:rsidR="00F178CC">
                      <w:rPr>
                        <w:rFonts w:ascii="Helvetica" w:hAnsi="Helvetica"/>
                        <w:b/>
                        <w:bCs/>
                        <w:sz w:val="44"/>
                        <w:szCs w:val="44"/>
                      </w:rPr>
                      <w:t>7</w:t>
                    </w:r>
                    <w:r w:rsidR="009E6E63">
                      <w:rPr>
                        <w:rFonts w:ascii="Helvetica" w:hAnsi="Helvetica"/>
                        <w:b/>
                        <w:bCs/>
                        <w:sz w:val="44"/>
                        <w:szCs w:val="44"/>
                      </w:rPr>
                      <w:t>–10</w:t>
                    </w:r>
                    <w:r w:rsidR="00F178CC">
                      <w:rPr>
                        <w:rFonts w:ascii="Helvetica" w:hAnsi="Helvetica"/>
                        <w:b/>
                        <w:bCs/>
                        <w:sz w:val="44"/>
                        <w:szCs w:val="44"/>
                      </w:rPr>
                      <w:t xml:space="preserve"> Media Arts</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C71E" w14:textId="77777777" w:rsidR="00764033" w:rsidRDefault="007640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145345"/>
      <w:docPartObj>
        <w:docPartGallery w:val="Page Numbers (Bottom of Page)"/>
        <w:docPartUnique/>
      </w:docPartObj>
    </w:sdtPr>
    <w:sdtEndPr>
      <w:rPr>
        <w:rFonts w:cs="Arial"/>
        <w:noProof/>
        <w:szCs w:val="20"/>
      </w:rPr>
    </w:sdtEndPr>
    <w:sdtContent>
      <w:p w14:paraId="1C29AD44" w14:textId="2B1830FB" w:rsidR="00A0228C" w:rsidRDefault="008B4545" w:rsidP="00956043">
        <w:pPr>
          <w:pStyle w:val="Footer"/>
        </w:pPr>
        <w:r w:rsidRPr="00E57E02">
          <w:t>Austral</w:t>
        </w:r>
        <w:r>
          <w:t>ia</w:t>
        </w:r>
        <w:r w:rsidRPr="00E57E02">
          <w:t xml:space="preserve">n Curriculum: The Arts – Scope and sequence </w:t>
        </w:r>
        <w:r w:rsidR="00F178CC">
          <w:t>7</w:t>
        </w:r>
        <w:r w:rsidR="00A0228C">
          <w:t>–</w:t>
        </w:r>
        <w:r w:rsidRPr="00E57E02">
          <w:t>10</w:t>
        </w:r>
        <w:r w:rsidR="00F178CC">
          <w:t xml:space="preserve"> Media Arts</w:t>
        </w:r>
        <w:r w:rsidRPr="00E57E02">
          <w:t xml:space="preserve">. </w:t>
        </w:r>
      </w:p>
      <w:p w14:paraId="7E063B13" w14:textId="05E8DB61" w:rsidR="008B4545" w:rsidRDefault="008B4545" w:rsidP="00956043">
        <w:pPr>
          <w:pStyle w:val="Footer"/>
        </w:pPr>
        <w:r w:rsidRPr="00E57E02">
          <w:t>Consultation curriculum</w:t>
        </w:r>
      </w:p>
      <w:p w14:paraId="3DF049C5" w14:textId="5909C4F7" w:rsidR="008B4545" w:rsidRPr="00E57E02" w:rsidRDefault="00C90217" w:rsidP="00847481">
        <w:pPr>
          <w:pStyle w:val="Footer"/>
          <w:ind w:left="720"/>
          <w:jc w:val="left"/>
          <w:rPr>
            <w:rFonts w:cs="Arial"/>
            <w:szCs w:val="20"/>
          </w:rPr>
        </w:pPr>
        <w:hyperlink r:id="rId1" w:history="1">
          <w:r w:rsidR="00847481" w:rsidRPr="008735F5">
            <w:rPr>
              <w:rStyle w:val="Hyperlink"/>
              <w:rFonts w:cs="Arial"/>
              <w:szCs w:val="20"/>
            </w:rPr>
            <w:t>© ACARA 2021</w:t>
          </w:r>
        </w:hyperlink>
        <w:r w:rsidR="00847481">
          <w:t xml:space="preserve">  </w:t>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B4545" w:rsidRPr="00E57E02">
          <w:rPr>
            <w:rFonts w:cs="Arial"/>
            <w:szCs w:val="20"/>
          </w:rPr>
          <w:t xml:space="preserve"> </w:t>
        </w:r>
        <w:r w:rsidR="008B4545" w:rsidRPr="008B4545">
          <w:fldChar w:fldCharType="begin"/>
        </w:r>
        <w:r w:rsidR="008B4545" w:rsidRPr="008B4545">
          <w:instrText xml:space="preserve"> PAGE   \* MERGEFORMAT </w:instrText>
        </w:r>
        <w:r w:rsidR="008B4545" w:rsidRPr="008B4545">
          <w:fldChar w:fldCharType="separate"/>
        </w:r>
        <w:r w:rsidR="008B4545" w:rsidRPr="008B4545">
          <w:t>2</w:t>
        </w:r>
        <w:r w:rsidR="008B4545" w:rsidRPr="008B454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8B389" w14:textId="77777777" w:rsidR="00485005" w:rsidRDefault="00485005" w:rsidP="00191E76">
      <w:pPr>
        <w:spacing w:after="0" w:line="240" w:lineRule="auto"/>
      </w:pPr>
      <w:r>
        <w:separator/>
      </w:r>
    </w:p>
  </w:footnote>
  <w:footnote w:type="continuationSeparator" w:id="0">
    <w:p w14:paraId="0FB3E9A0" w14:textId="77777777" w:rsidR="00485005" w:rsidRDefault="00485005" w:rsidP="00191E76">
      <w:pPr>
        <w:spacing w:after="0" w:line="240" w:lineRule="auto"/>
      </w:pPr>
      <w:r>
        <w:continuationSeparator/>
      </w:r>
    </w:p>
  </w:footnote>
  <w:footnote w:type="continuationNotice" w:id="1">
    <w:p w14:paraId="667D1A59" w14:textId="77777777" w:rsidR="00485005" w:rsidRDefault="004850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FA15" w14:textId="4443B887" w:rsidR="00847481" w:rsidRDefault="007A3627" w:rsidP="00847481">
    <w:pPr>
      <w:pStyle w:val="Header"/>
      <w:tabs>
        <w:tab w:val="left" w:pos="720"/>
      </w:tabs>
      <w:ind w:left="720"/>
    </w:pPr>
    <w:r>
      <w:rPr>
        <w:noProof/>
      </w:rPr>
      <w:drawing>
        <wp:anchor distT="0" distB="0" distL="114300" distR="114300" simplePos="0" relativeHeight="251658240" behindDoc="1" locked="0" layoutInCell="1" allowOverlap="1" wp14:anchorId="72DD5F5B" wp14:editId="3D7F1865">
          <wp:simplePos x="0" y="0"/>
          <wp:positionH relativeFrom="column">
            <wp:posOffset>-425947</wp:posOffset>
          </wp:positionH>
          <wp:positionV relativeFrom="paragraph">
            <wp:posOffset>-421640</wp:posOffset>
          </wp:positionV>
          <wp:extent cx="14847683" cy="10493193"/>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847683" cy="1049319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5EF5" w14:textId="77777777" w:rsidR="00764033" w:rsidRDefault="00764033" w:rsidP="00847481">
    <w:pPr>
      <w:pStyle w:val="Header"/>
      <w:tabs>
        <w:tab w:val="left" w:pos="720"/>
      </w:tabs>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CC40" w14:textId="341F56AD" w:rsidR="0067162E" w:rsidRDefault="6239B95E" w:rsidP="00847481">
    <w:pPr>
      <w:pStyle w:val="Header"/>
      <w:tabs>
        <w:tab w:val="left" w:pos="720"/>
      </w:tabs>
      <w:ind w:left="720"/>
    </w:pPr>
    <w:r>
      <w:rPr>
        <w:noProof/>
      </w:rPr>
      <w:drawing>
        <wp:inline distT="0" distB="0" distL="0" distR="0" wp14:anchorId="77105989" wp14:editId="7A60D612">
          <wp:extent cx="2161032" cy="35966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2161032" cy="359664"/>
                  </a:xfrm>
                  <a:prstGeom prst="rect">
                    <a:avLst/>
                  </a:prstGeom>
                </pic:spPr>
              </pic:pic>
            </a:graphicData>
          </a:graphic>
        </wp:inline>
      </w:drawing>
    </w:r>
    <w:r w:rsidR="0067162E">
      <w:tab/>
    </w:r>
    <w:r w:rsidR="0067162E">
      <w:tab/>
    </w:r>
    <w:r w:rsidR="0067162E">
      <w:tab/>
    </w:r>
    <w:r w:rsidR="0067162E">
      <w:tab/>
    </w:r>
    <w:r w:rsidR="0067162E">
      <w:tab/>
    </w:r>
    <w:r w:rsidR="00BF529C">
      <w:tab/>
    </w:r>
    <w:r w:rsidR="00BF529C">
      <w:tab/>
    </w:r>
    <w:r w:rsidR="00BF529C">
      <w:tab/>
    </w:r>
    <w:r w:rsidR="00BF529C">
      <w:tab/>
    </w:r>
    <w:r w:rsidR="00BF529C">
      <w:tab/>
    </w:r>
    <w:r w:rsidR="00BF529C">
      <w:tab/>
    </w:r>
    <w:r w:rsidR="00BF529C">
      <w:tab/>
    </w:r>
    <w:r w:rsidR="00BF529C">
      <w:tab/>
    </w:r>
    <w:r w:rsidR="00BF529C">
      <w:tab/>
    </w:r>
    <w:r>
      <w:rPr>
        <w:noProof/>
      </w:rPr>
      <w:drawing>
        <wp:inline distT="0" distB="0" distL="0" distR="0" wp14:anchorId="603A55C2" wp14:editId="7ECB2456">
          <wp:extent cx="1322734" cy="394847"/>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
                    <a:extLst>
                      <a:ext uri="{28A0092B-C50C-407E-A947-70E740481C1C}">
                        <a14:useLocalDpi xmlns:a14="http://schemas.microsoft.com/office/drawing/2010/main" val="0"/>
                      </a:ext>
                    </a:extLst>
                  </a:blip>
                  <a:stretch>
                    <a:fillRect/>
                  </a:stretch>
                </pic:blipFill>
                <pic:spPr>
                  <a:xfrm>
                    <a:off x="0" y="0"/>
                    <a:ext cx="1322734" cy="394847"/>
                  </a:xfrm>
                  <a:prstGeom prst="rect">
                    <a:avLst/>
                  </a:prstGeom>
                </pic:spPr>
              </pic:pic>
            </a:graphicData>
          </a:graphic>
        </wp:inline>
      </w:drawing>
    </w:r>
  </w:p>
  <w:p w14:paraId="314D08E2" w14:textId="77777777" w:rsidR="00D85178" w:rsidRDefault="00D85178" w:rsidP="00847481">
    <w:pPr>
      <w:pStyle w:val="Header"/>
      <w:tabs>
        <w:tab w:val="left" w:pos="720"/>
      </w:tabs>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45699"/>
    <w:multiLevelType w:val="hybridMultilevel"/>
    <w:tmpl w:val="C97A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E9"/>
    <w:rsid w:val="0000122D"/>
    <w:rsid w:val="000050B6"/>
    <w:rsid w:val="00006D50"/>
    <w:rsid w:val="00010E12"/>
    <w:rsid w:val="00011F5C"/>
    <w:rsid w:val="00021236"/>
    <w:rsid w:val="00021A6A"/>
    <w:rsid w:val="000248FD"/>
    <w:rsid w:val="00047AEC"/>
    <w:rsid w:val="000607C4"/>
    <w:rsid w:val="00071BAB"/>
    <w:rsid w:val="00074F7B"/>
    <w:rsid w:val="0008692F"/>
    <w:rsid w:val="00091B6A"/>
    <w:rsid w:val="0009616A"/>
    <w:rsid w:val="00096E3D"/>
    <w:rsid w:val="000A1848"/>
    <w:rsid w:val="000A5899"/>
    <w:rsid w:val="000B1886"/>
    <w:rsid w:val="000B7684"/>
    <w:rsid w:val="000B78CE"/>
    <w:rsid w:val="000B7C88"/>
    <w:rsid w:val="000C7B21"/>
    <w:rsid w:val="000D7B2A"/>
    <w:rsid w:val="000E3A14"/>
    <w:rsid w:val="000E6598"/>
    <w:rsid w:val="000E718D"/>
    <w:rsid w:val="000F0C81"/>
    <w:rsid w:val="000F1B2B"/>
    <w:rsid w:val="000F3273"/>
    <w:rsid w:val="000F5133"/>
    <w:rsid w:val="001101C0"/>
    <w:rsid w:val="00115692"/>
    <w:rsid w:val="00121478"/>
    <w:rsid w:val="001241E4"/>
    <w:rsid w:val="00125D4C"/>
    <w:rsid w:val="00133CFE"/>
    <w:rsid w:val="0014171E"/>
    <w:rsid w:val="00145B9F"/>
    <w:rsid w:val="0014661D"/>
    <w:rsid w:val="0015090C"/>
    <w:rsid w:val="00156616"/>
    <w:rsid w:val="00163A23"/>
    <w:rsid w:val="001671A0"/>
    <w:rsid w:val="00173EC4"/>
    <w:rsid w:val="00185B16"/>
    <w:rsid w:val="001864E9"/>
    <w:rsid w:val="0018721A"/>
    <w:rsid w:val="0018788D"/>
    <w:rsid w:val="00191721"/>
    <w:rsid w:val="00191E76"/>
    <w:rsid w:val="00193C87"/>
    <w:rsid w:val="00193CA6"/>
    <w:rsid w:val="00193E36"/>
    <w:rsid w:val="001976A9"/>
    <w:rsid w:val="001A0FC5"/>
    <w:rsid w:val="001B109E"/>
    <w:rsid w:val="001B3770"/>
    <w:rsid w:val="001B4A21"/>
    <w:rsid w:val="001B5811"/>
    <w:rsid w:val="001C1A58"/>
    <w:rsid w:val="001E4818"/>
    <w:rsid w:val="001E6506"/>
    <w:rsid w:val="001F1089"/>
    <w:rsid w:val="001F170B"/>
    <w:rsid w:val="002004A4"/>
    <w:rsid w:val="00201E47"/>
    <w:rsid w:val="00205F2A"/>
    <w:rsid w:val="002064B4"/>
    <w:rsid w:val="00206E80"/>
    <w:rsid w:val="0021050E"/>
    <w:rsid w:val="002114FC"/>
    <w:rsid w:val="002145DC"/>
    <w:rsid w:val="00215D15"/>
    <w:rsid w:val="00234A1F"/>
    <w:rsid w:val="00235B0E"/>
    <w:rsid w:val="00235BC6"/>
    <w:rsid w:val="00236779"/>
    <w:rsid w:val="002445E9"/>
    <w:rsid w:val="00247208"/>
    <w:rsid w:val="00252B34"/>
    <w:rsid w:val="002545FA"/>
    <w:rsid w:val="00255620"/>
    <w:rsid w:val="002568D2"/>
    <w:rsid w:val="00260BD0"/>
    <w:rsid w:val="00265DA7"/>
    <w:rsid w:val="0026647C"/>
    <w:rsid w:val="00272719"/>
    <w:rsid w:val="002771C4"/>
    <w:rsid w:val="002814C0"/>
    <w:rsid w:val="00283796"/>
    <w:rsid w:val="0028670E"/>
    <w:rsid w:val="00291419"/>
    <w:rsid w:val="002920AE"/>
    <w:rsid w:val="00293068"/>
    <w:rsid w:val="002A0012"/>
    <w:rsid w:val="002A1626"/>
    <w:rsid w:val="002A31DF"/>
    <w:rsid w:val="002A3359"/>
    <w:rsid w:val="002A39A9"/>
    <w:rsid w:val="002A67EB"/>
    <w:rsid w:val="002B011B"/>
    <w:rsid w:val="002B0BBB"/>
    <w:rsid w:val="002B58F9"/>
    <w:rsid w:val="002B71F7"/>
    <w:rsid w:val="002C188D"/>
    <w:rsid w:val="002C1AC1"/>
    <w:rsid w:val="002C519C"/>
    <w:rsid w:val="002E6B31"/>
    <w:rsid w:val="002E7288"/>
    <w:rsid w:val="0030184F"/>
    <w:rsid w:val="00306679"/>
    <w:rsid w:val="00316074"/>
    <w:rsid w:val="00327D03"/>
    <w:rsid w:val="00333793"/>
    <w:rsid w:val="00343279"/>
    <w:rsid w:val="00350FCD"/>
    <w:rsid w:val="00354AB1"/>
    <w:rsid w:val="00364950"/>
    <w:rsid w:val="00370AA9"/>
    <w:rsid w:val="003749D7"/>
    <w:rsid w:val="00375369"/>
    <w:rsid w:val="003761B0"/>
    <w:rsid w:val="00383804"/>
    <w:rsid w:val="00392ACC"/>
    <w:rsid w:val="0039474A"/>
    <w:rsid w:val="003A541D"/>
    <w:rsid w:val="003A7051"/>
    <w:rsid w:val="003A7986"/>
    <w:rsid w:val="003B3215"/>
    <w:rsid w:val="003B4562"/>
    <w:rsid w:val="003B77EF"/>
    <w:rsid w:val="003D0F45"/>
    <w:rsid w:val="003D23ED"/>
    <w:rsid w:val="003D2984"/>
    <w:rsid w:val="003D3767"/>
    <w:rsid w:val="003D3D81"/>
    <w:rsid w:val="003D6C28"/>
    <w:rsid w:val="003E3C5A"/>
    <w:rsid w:val="003E79B6"/>
    <w:rsid w:val="003F1C63"/>
    <w:rsid w:val="003F38F7"/>
    <w:rsid w:val="00403197"/>
    <w:rsid w:val="00407738"/>
    <w:rsid w:val="004203BE"/>
    <w:rsid w:val="00424158"/>
    <w:rsid w:val="0042444B"/>
    <w:rsid w:val="00425997"/>
    <w:rsid w:val="00431C4E"/>
    <w:rsid w:val="00432028"/>
    <w:rsid w:val="00437A7D"/>
    <w:rsid w:val="00442BD2"/>
    <w:rsid w:val="00442CD2"/>
    <w:rsid w:val="00444B9D"/>
    <w:rsid w:val="00445B03"/>
    <w:rsid w:val="00452C9A"/>
    <w:rsid w:val="00455A90"/>
    <w:rsid w:val="00455ECB"/>
    <w:rsid w:val="00461F86"/>
    <w:rsid w:val="004647E5"/>
    <w:rsid w:val="00466B00"/>
    <w:rsid w:val="00477CAE"/>
    <w:rsid w:val="00484605"/>
    <w:rsid w:val="00485005"/>
    <w:rsid w:val="0048502A"/>
    <w:rsid w:val="00485690"/>
    <w:rsid w:val="00485A4B"/>
    <w:rsid w:val="004868D2"/>
    <w:rsid w:val="00486B6F"/>
    <w:rsid w:val="004A268F"/>
    <w:rsid w:val="004A477C"/>
    <w:rsid w:val="004A58EE"/>
    <w:rsid w:val="004A5CC6"/>
    <w:rsid w:val="004A7D5F"/>
    <w:rsid w:val="004B3D33"/>
    <w:rsid w:val="004B40B9"/>
    <w:rsid w:val="004B7F86"/>
    <w:rsid w:val="004C6180"/>
    <w:rsid w:val="004D5208"/>
    <w:rsid w:val="004E1704"/>
    <w:rsid w:val="004E3714"/>
    <w:rsid w:val="004E46F8"/>
    <w:rsid w:val="004F554B"/>
    <w:rsid w:val="005030D7"/>
    <w:rsid w:val="00504618"/>
    <w:rsid w:val="00507C65"/>
    <w:rsid w:val="00511325"/>
    <w:rsid w:val="005279A5"/>
    <w:rsid w:val="00532DA7"/>
    <w:rsid w:val="00535166"/>
    <w:rsid w:val="0053591E"/>
    <w:rsid w:val="005368AE"/>
    <w:rsid w:val="00540ADB"/>
    <w:rsid w:val="005448B9"/>
    <w:rsid w:val="0054599C"/>
    <w:rsid w:val="0054641D"/>
    <w:rsid w:val="00546688"/>
    <w:rsid w:val="00547A92"/>
    <w:rsid w:val="0056419F"/>
    <w:rsid w:val="00565A56"/>
    <w:rsid w:val="00566CD2"/>
    <w:rsid w:val="00573DD6"/>
    <w:rsid w:val="00584BB0"/>
    <w:rsid w:val="00585498"/>
    <w:rsid w:val="005858AE"/>
    <w:rsid w:val="005904DA"/>
    <w:rsid w:val="005960B6"/>
    <w:rsid w:val="005A1AFA"/>
    <w:rsid w:val="005A3D74"/>
    <w:rsid w:val="005B126E"/>
    <w:rsid w:val="005B2F7A"/>
    <w:rsid w:val="005B419D"/>
    <w:rsid w:val="005B423F"/>
    <w:rsid w:val="005B574B"/>
    <w:rsid w:val="005C290D"/>
    <w:rsid w:val="005C2C3E"/>
    <w:rsid w:val="005C74BB"/>
    <w:rsid w:val="005D1CEC"/>
    <w:rsid w:val="005E0EDC"/>
    <w:rsid w:val="005E4621"/>
    <w:rsid w:val="005E5852"/>
    <w:rsid w:val="005F0210"/>
    <w:rsid w:val="005F05AE"/>
    <w:rsid w:val="005F1519"/>
    <w:rsid w:val="005F2CE5"/>
    <w:rsid w:val="005F3798"/>
    <w:rsid w:val="005F3A88"/>
    <w:rsid w:val="005F3B14"/>
    <w:rsid w:val="005F798B"/>
    <w:rsid w:val="00600C72"/>
    <w:rsid w:val="00610684"/>
    <w:rsid w:val="00611F92"/>
    <w:rsid w:val="006146B1"/>
    <w:rsid w:val="0061663E"/>
    <w:rsid w:val="00620C85"/>
    <w:rsid w:val="00630056"/>
    <w:rsid w:val="006320FE"/>
    <w:rsid w:val="006324BA"/>
    <w:rsid w:val="006327E1"/>
    <w:rsid w:val="00636E07"/>
    <w:rsid w:val="00641EFE"/>
    <w:rsid w:val="00643DA0"/>
    <w:rsid w:val="0065164D"/>
    <w:rsid w:val="0065321B"/>
    <w:rsid w:val="006612B2"/>
    <w:rsid w:val="00661C86"/>
    <w:rsid w:val="006679AC"/>
    <w:rsid w:val="0067162E"/>
    <w:rsid w:val="0067234A"/>
    <w:rsid w:val="006729B0"/>
    <w:rsid w:val="00674CDE"/>
    <w:rsid w:val="00675A5B"/>
    <w:rsid w:val="006806D8"/>
    <w:rsid w:val="00685996"/>
    <w:rsid w:val="00690743"/>
    <w:rsid w:val="00692EFE"/>
    <w:rsid w:val="0069399E"/>
    <w:rsid w:val="006A05B1"/>
    <w:rsid w:val="006A6103"/>
    <w:rsid w:val="006A6122"/>
    <w:rsid w:val="006B10D2"/>
    <w:rsid w:val="006C2502"/>
    <w:rsid w:val="006D15A7"/>
    <w:rsid w:val="006D2AEC"/>
    <w:rsid w:val="006D5C49"/>
    <w:rsid w:val="006D6302"/>
    <w:rsid w:val="006E28E8"/>
    <w:rsid w:val="006E3D85"/>
    <w:rsid w:val="006E46AF"/>
    <w:rsid w:val="006E510A"/>
    <w:rsid w:val="006E6CC7"/>
    <w:rsid w:val="006E70CF"/>
    <w:rsid w:val="006F019C"/>
    <w:rsid w:val="006F4894"/>
    <w:rsid w:val="007028A2"/>
    <w:rsid w:val="00703075"/>
    <w:rsid w:val="00703863"/>
    <w:rsid w:val="007166EF"/>
    <w:rsid w:val="007179C4"/>
    <w:rsid w:val="007215EF"/>
    <w:rsid w:val="0072214C"/>
    <w:rsid w:val="0073602B"/>
    <w:rsid w:val="0073729B"/>
    <w:rsid w:val="007376D5"/>
    <w:rsid w:val="00745029"/>
    <w:rsid w:val="007540ED"/>
    <w:rsid w:val="00756D10"/>
    <w:rsid w:val="007618BD"/>
    <w:rsid w:val="00764033"/>
    <w:rsid w:val="00770A17"/>
    <w:rsid w:val="007721E8"/>
    <w:rsid w:val="00773022"/>
    <w:rsid w:val="007761C0"/>
    <w:rsid w:val="00777314"/>
    <w:rsid w:val="007871BE"/>
    <w:rsid w:val="00793067"/>
    <w:rsid w:val="00793167"/>
    <w:rsid w:val="0079656D"/>
    <w:rsid w:val="00797C1A"/>
    <w:rsid w:val="007A35CC"/>
    <w:rsid w:val="007A3627"/>
    <w:rsid w:val="007B55F1"/>
    <w:rsid w:val="007C116C"/>
    <w:rsid w:val="007C2AE7"/>
    <w:rsid w:val="007C3D4B"/>
    <w:rsid w:val="007E4EC5"/>
    <w:rsid w:val="007E54B8"/>
    <w:rsid w:val="007E7976"/>
    <w:rsid w:val="007F3552"/>
    <w:rsid w:val="007F6D0A"/>
    <w:rsid w:val="00801F7E"/>
    <w:rsid w:val="008023A8"/>
    <w:rsid w:val="00812B78"/>
    <w:rsid w:val="00813B05"/>
    <w:rsid w:val="008162CD"/>
    <w:rsid w:val="00825BAD"/>
    <w:rsid w:val="00830B7E"/>
    <w:rsid w:val="008327F4"/>
    <w:rsid w:val="00840ACA"/>
    <w:rsid w:val="00840EE1"/>
    <w:rsid w:val="00847481"/>
    <w:rsid w:val="0084791A"/>
    <w:rsid w:val="008512BF"/>
    <w:rsid w:val="00851E07"/>
    <w:rsid w:val="0085263C"/>
    <w:rsid w:val="00857398"/>
    <w:rsid w:val="00863BA0"/>
    <w:rsid w:val="00866CA9"/>
    <w:rsid w:val="0089010B"/>
    <w:rsid w:val="00890412"/>
    <w:rsid w:val="008906A4"/>
    <w:rsid w:val="008946D1"/>
    <w:rsid w:val="0089572D"/>
    <w:rsid w:val="00896078"/>
    <w:rsid w:val="008A11BD"/>
    <w:rsid w:val="008A2CDC"/>
    <w:rsid w:val="008B2BCE"/>
    <w:rsid w:val="008B301B"/>
    <w:rsid w:val="008B4545"/>
    <w:rsid w:val="008B4CB2"/>
    <w:rsid w:val="008C4119"/>
    <w:rsid w:val="008C58B1"/>
    <w:rsid w:val="008D03B3"/>
    <w:rsid w:val="008D1AD0"/>
    <w:rsid w:val="008E18E6"/>
    <w:rsid w:val="008E21E4"/>
    <w:rsid w:val="008F42ED"/>
    <w:rsid w:val="00902E97"/>
    <w:rsid w:val="00904736"/>
    <w:rsid w:val="00904957"/>
    <w:rsid w:val="0090664E"/>
    <w:rsid w:val="0091080A"/>
    <w:rsid w:val="00912CDD"/>
    <w:rsid w:val="0091486F"/>
    <w:rsid w:val="00916745"/>
    <w:rsid w:val="00920F53"/>
    <w:rsid w:val="00922C82"/>
    <w:rsid w:val="0093207A"/>
    <w:rsid w:val="0093541F"/>
    <w:rsid w:val="009452D5"/>
    <w:rsid w:val="00947389"/>
    <w:rsid w:val="00947C7E"/>
    <w:rsid w:val="00952642"/>
    <w:rsid w:val="00956043"/>
    <w:rsid w:val="00970295"/>
    <w:rsid w:val="00972271"/>
    <w:rsid w:val="009901C7"/>
    <w:rsid w:val="00995103"/>
    <w:rsid w:val="009A35E3"/>
    <w:rsid w:val="009A494A"/>
    <w:rsid w:val="009B3D72"/>
    <w:rsid w:val="009B5A7F"/>
    <w:rsid w:val="009C333D"/>
    <w:rsid w:val="009D6145"/>
    <w:rsid w:val="009E6242"/>
    <w:rsid w:val="009E6E63"/>
    <w:rsid w:val="009F2304"/>
    <w:rsid w:val="009F4EC4"/>
    <w:rsid w:val="00A00795"/>
    <w:rsid w:val="00A0228C"/>
    <w:rsid w:val="00A02C1F"/>
    <w:rsid w:val="00A03030"/>
    <w:rsid w:val="00A03DFE"/>
    <w:rsid w:val="00A05C7B"/>
    <w:rsid w:val="00A07DD0"/>
    <w:rsid w:val="00A115BA"/>
    <w:rsid w:val="00A13BA3"/>
    <w:rsid w:val="00A141F8"/>
    <w:rsid w:val="00A155C0"/>
    <w:rsid w:val="00A16112"/>
    <w:rsid w:val="00A20412"/>
    <w:rsid w:val="00A252C3"/>
    <w:rsid w:val="00A42C14"/>
    <w:rsid w:val="00A4302F"/>
    <w:rsid w:val="00A431E3"/>
    <w:rsid w:val="00A53819"/>
    <w:rsid w:val="00A606A6"/>
    <w:rsid w:val="00A60B01"/>
    <w:rsid w:val="00A64009"/>
    <w:rsid w:val="00A6499B"/>
    <w:rsid w:val="00A659A6"/>
    <w:rsid w:val="00A70A9D"/>
    <w:rsid w:val="00A71BE1"/>
    <w:rsid w:val="00A736B0"/>
    <w:rsid w:val="00A77C89"/>
    <w:rsid w:val="00A8457D"/>
    <w:rsid w:val="00A84B06"/>
    <w:rsid w:val="00A91992"/>
    <w:rsid w:val="00A92566"/>
    <w:rsid w:val="00AA25D4"/>
    <w:rsid w:val="00AA4932"/>
    <w:rsid w:val="00AB2520"/>
    <w:rsid w:val="00AB284F"/>
    <w:rsid w:val="00AB2F0B"/>
    <w:rsid w:val="00AB2F3C"/>
    <w:rsid w:val="00AC11B1"/>
    <w:rsid w:val="00AC652B"/>
    <w:rsid w:val="00AD061F"/>
    <w:rsid w:val="00AD162C"/>
    <w:rsid w:val="00AD3DBC"/>
    <w:rsid w:val="00AD4709"/>
    <w:rsid w:val="00AD5D2B"/>
    <w:rsid w:val="00AE278A"/>
    <w:rsid w:val="00AE4A90"/>
    <w:rsid w:val="00AF0652"/>
    <w:rsid w:val="00AF1323"/>
    <w:rsid w:val="00AF1D30"/>
    <w:rsid w:val="00AF5577"/>
    <w:rsid w:val="00AF715F"/>
    <w:rsid w:val="00AF75BF"/>
    <w:rsid w:val="00AF76F5"/>
    <w:rsid w:val="00B046BD"/>
    <w:rsid w:val="00B100C1"/>
    <w:rsid w:val="00B12DCB"/>
    <w:rsid w:val="00B26511"/>
    <w:rsid w:val="00B2789C"/>
    <w:rsid w:val="00B27FE5"/>
    <w:rsid w:val="00B30CA6"/>
    <w:rsid w:val="00B340CC"/>
    <w:rsid w:val="00B37158"/>
    <w:rsid w:val="00B40DAA"/>
    <w:rsid w:val="00B40E2F"/>
    <w:rsid w:val="00B47598"/>
    <w:rsid w:val="00B526E9"/>
    <w:rsid w:val="00B5539A"/>
    <w:rsid w:val="00B61470"/>
    <w:rsid w:val="00B668E1"/>
    <w:rsid w:val="00B677D8"/>
    <w:rsid w:val="00B67FEC"/>
    <w:rsid w:val="00B740B2"/>
    <w:rsid w:val="00B74609"/>
    <w:rsid w:val="00B75DB7"/>
    <w:rsid w:val="00B766D5"/>
    <w:rsid w:val="00B77E2F"/>
    <w:rsid w:val="00B82544"/>
    <w:rsid w:val="00B864A8"/>
    <w:rsid w:val="00B9011C"/>
    <w:rsid w:val="00B9340D"/>
    <w:rsid w:val="00B940C1"/>
    <w:rsid w:val="00B94B22"/>
    <w:rsid w:val="00B95802"/>
    <w:rsid w:val="00BA16A7"/>
    <w:rsid w:val="00BA461F"/>
    <w:rsid w:val="00BA6012"/>
    <w:rsid w:val="00BA63E8"/>
    <w:rsid w:val="00BB72AF"/>
    <w:rsid w:val="00BB786E"/>
    <w:rsid w:val="00BC2F5A"/>
    <w:rsid w:val="00BC3538"/>
    <w:rsid w:val="00BC3A50"/>
    <w:rsid w:val="00BD1886"/>
    <w:rsid w:val="00BD1B35"/>
    <w:rsid w:val="00BD4F47"/>
    <w:rsid w:val="00BD5CD7"/>
    <w:rsid w:val="00BD6AB7"/>
    <w:rsid w:val="00BD77FB"/>
    <w:rsid w:val="00BE3FEC"/>
    <w:rsid w:val="00BE6B4A"/>
    <w:rsid w:val="00BE71CF"/>
    <w:rsid w:val="00BE74DD"/>
    <w:rsid w:val="00BF0B3C"/>
    <w:rsid w:val="00BF12B7"/>
    <w:rsid w:val="00BF2A2B"/>
    <w:rsid w:val="00BF529C"/>
    <w:rsid w:val="00BF5976"/>
    <w:rsid w:val="00C076F0"/>
    <w:rsid w:val="00C0799E"/>
    <w:rsid w:val="00C133F4"/>
    <w:rsid w:val="00C1372D"/>
    <w:rsid w:val="00C13CE3"/>
    <w:rsid w:val="00C1707A"/>
    <w:rsid w:val="00C23C92"/>
    <w:rsid w:val="00C23FA7"/>
    <w:rsid w:val="00C279BD"/>
    <w:rsid w:val="00C35B32"/>
    <w:rsid w:val="00C40780"/>
    <w:rsid w:val="00C4703A"/>
    <w:rsid w:val="00C51925"/>
    <w:rsid w:val="00C537D7"/>
    <w:rsid w:val="00C56F91"/>
    <w:rsid w:val="00C60A98"/>
    <w:rsid w:val="00C7073F"/>
    <w:rsid w:val="00C735E8"/>
    <w:rsid w:val="00C811C1"/>
    <w:rsid w:val="00C90217"/>
    <w:rsid w:val="00C918ED"/>
    <w:rsid w:val="00C91F95"/>
    <w:rsid w:val="00C92E3C"/>
    <w:rsid w:val="00C94255"/>
    <w:rsid w:val="00CA2E54"/>
    <w:rsid w:val="00CA6B62"/>
    <w:rsid w:val="00CB0A95"/>
    <w:rsid w:val="00CB2194"/>
    <w:rsid w:val="00CB2D60"/>
    <w:rsid w:val="00CB2F4D"/>
    <w:rsid w:val="00CB7737"/>
    <w:rsid w:val="00CB7BB5"/>
    <w:rsid w:val="00CC24CD"/>
    <w:rsid w:val="00CC28C2"/>
    <w:rsid w:val="00CC3BAF"/>
    <w:rsid w:val="00CC44A7"/>
    <w:rsid w:val="00CC45F5"/>
    <w:rsid w:val="00CC736F"/>
    <w:rsid w:val="00CD4D12"/>
    <w:rsid w:val="00CE3B8B"/>
    <w:rsid w:val="00CE3B98"/>
    <w:rsid w:val="00CE5A36"/>
    <w:rsid w:val="00CE5EC7"/>
    <w:rsid w:val="00CE7219"/>
    <w:rsid w:val="00CF0061"/>
    <w:rsid w:val="00CF6218"/>
    <w:rsid w:val="00D00605"/>
    <w:rsid w:val="00D11A81"/>
    <w:rsid w:val="00D1486D"/>
    <w:rsid w:val="00D227D5"/>
    <w:rsid w:val="00D23459"/>
    <w:rsid w:val="00D23E22"/>
    <w:rsid w:val="00D32CFE"/>
    <w:rsid w:val="00D35BD0"/>
    <w:rsid w:val="00D36497"/>
    <w:rsid w:val="00D43930"/>
    <w:rsid w:val="00D52DA4"/>
    <w:rsid w:val="00D54183"/>
    <w:rsid w:val="00D553BA"/>
    <w:rsid w:val="00D55646"/>
    <w:rsid w:val="00D60791"/>
    <w:rsid w:val="00D60BDC"/>
    <w:rsid w:val="00D617AC"/>
    <w:rsid w:val="00D61A9D"/>
    <w:rsid w:val="00D61C87"/>
    <w:rsid w:val="00D65388"/>
    <w:rsid w:val="00D73ABB"/>
    <w:rsid w:val="00D74B41"/>
    <w:rsid w:val="00D83207"/>
    <w:rsid w:val="00D8466C"/>
    <w:rsid w:val="00D84688"/>
    <w:rsid w:val="00D85178"/>
    <w:rsid w:val="00D86553"/>
    <w:rsid w:val="00D87BB4"/>
    <w:rsid w:val="00D92461"/>
    <w:rsid w:val="00D93142"/>
    <w:rsid w:val="00DA0B80"/>
    <w:rsid w:val="00DD029A"/>
    <w:rsid w:val="00DD2DA1"/>
    <w:rsid w:val="00DE046F"/>
    <w:rsid w:val="00DE19D4"/>
    <w:rsid w:val="00DE2E17"/>
    <w:rsid w:val="00DE3704"/>
    <w:rsid w:val="00DE6CE8"/>
    <w:rsid w:val="00DE7BB2"/>
    <w:rsid w:val="00DF4D4A"/>
    <w:rsid w:val="00DF767A"/>
    <w:rsid w:val="00E00AD1"/>
    <w:rsid w:val="00E014FB"/>
    <w:rsid w:val="00E03DB8"/>
    <w:rsid w:val="00E107E9"/>
    <w:rsid w:val="00E11284"/>
    <w:rsid w:val="00E14775"/>
    <w:rsid w:val="00E166CE"/>
    <w:rsid w:val="00E20BE3"/>
    <w:rsid w:val="00E310AD"/>
    <w:rsid w:val="00E317A2"/>
    <w:rsid w:val="00E4390D"/>
    <w:rsid w:val="00E44542"/>
    <w:rsid w:val="00E5392B"/>
    <w:rsid w:val="00E57E02"/>
    <w:rsid w:val="00E6007A"/>
    <w:rsid w:val="00E60489"/>
    <w:rsid w:val="00E621F6"/>
    <w:rsid w:val="00E7514B"/>
    <w:rsid w:val="00E77774"/>
    <w:rsid w:val="00E870AD"/>
    <w:rsid w:val="00E871E1"/>
    <w:rsid w:val="00E87E66"/>
    <w:rsid w:val="00E951C9"/>
    <w:rsid w:val="00EB2C3F"/>
    <w:rsid w:val="00EB3E33"/>
    <w:rsid w:val="00EB6618"/>
    <w:rsid w:val="00EB7CF0"/>
    <w:rsid w:val="00EC2D5D"/>
    <w:rsid w:val="00EC53B5"/>
    <w:rsid w:val="00ED16BD"/>
    <w:rsid w:val="00ED5681"/>
    <w:rsid w:val="00EE0F1D"/>
    <w:rsid w:val="00EE370B"/>
    <w:rsid w:val="00EE3AFF"/>
    <w:rsid w:val="00EF1D91"/>
    <w:rsid w:val="00EF5667"/>
    <w:rsid w:val="00F0105C"/>
    <w:rsid w:val="00F060D1"/>
    <w:rsid w:val="00F07E15"/>
    <w:rsid w:val="00F178CC"/>
    <w:rsid w:val="00F23192"/>
    <w:rsid w:val="00F2682A"/>
    <w:rsid w:val="00F26AF0"/>
    <w:rsid w:val="00F27641"/>
    <w:rsid w:val="00F3142C"/>
    <w:rsid w:val="00F31571"/>
    <w:rsid w:val="00F32EF6"/>
    <w:rsid w:val="00F40199"/>
    <w:rsid w:val="00F40915"/>
    <w:rsid w:val="00F417E1"/>
    <w:rsid w:val="00F45870"/>
    <w:rsid w:val="00F477E6"/>
    <w:rsid w:val="00F47910"/>
    <w:rsid w:val="00F52C10"/>
    <w:rsid w:val="00F55079"/>
    <w:rsid w:val="00F60F79"/>
    <w:rsid w:val="00F6466F"/>
    <w:rsid w:val="00F64F4D"/>
    <w:rsid w:val="00F718A3"/>
    <w:rsid w:val="00F72CC1"/>
    <w:rsid w:val="00F7318C"/>
    <w:rsid w:val="00F77DD7"/>
    <w:rsid w:val="00F82B87"/>
    <w:rsid w:val="00F8303B"/>
    <w:rsid w:val="00F85FD5"/>
    <w:rsid w:val="00F916C2"/>
    <w:rsid w:val="00F96236"/>
    <w:rsid w:val="00FA215C"/>
    <w:rsid w:val="00FA3D44"/>
    <w:rsid w:val="00FA538C"/>
    <w:rsid w:val="00FB1288"/>
    <w:rsid w:val="00FB554C"/>
    <w:rsid w:val="00FB55F0"/>
    <w:rsid w:val="00FB5D74"/>
    <w:rsid w:val="00FB7C07"/>
    <w:rsid w:val="00FC6236"/>
    <w:rsid w:val="00FE7949"/>
    <w:rsid w:val="00FF777E"/>
    <w:rsid w:val="00FF7DE2"/>
    <w:rsid w:val="01632C4C"/>
    <w:rsid w:val="039ED454"/>
    <w:rsid w:val="08A4EA06"/>
    <w:rsid w:val="0E857753"/>
    <w:rsid w:val="13E4AA70"/>
    <w:rsid w:val="18702198"/>
    <w:rsid w:val="1F5A6CD5"/>
    <w:rsid w:val="1FFC9B90"/>
    <w:rsid w:val="234F2648"/>
    <w:rsid w:val="27681F3B"/>
    <w:rsid w:val="27B2A69C"/>
    <w:rsid w:val="2875CE6A"/>
    <w:rsid w:val="2E5832AC"/>
    <w:rsid w:val="2ECE2BB4"/>
    <w:rsid w:val="301464C1"/>
    <w:rsid w:val="31535C71"/>
    <w:rsid w:val="33DC9B58"/>
    <w:rsid w:val="36C3CC9C"/>
    <w:rsid w:val="3EE1477C"/>
    <w:rsid w:val="446D8CBF"/>
    <w:rsid w:val="45F95715"/>
    <w:rsid w:val="49F4278F"/>
    <w:rsid w:val="4AF8788C"/>
    <w:rsid w:val="4E88BE4F"/>
    <w:rsid w:val="578022DE"/>
    <w:rsid w:val="5EF7CBD0"/>
    <w:rsid w:val="6233F4FB"/>
    <w:rsid w:val="6239B95E"/>
    <w:rsid w:val="64CC9351"/>
    <w:rsid w:val="6C92E7EF"/>
    <w:rsid w:val="6CB571D7"/>
    <w:rsid w:val="6CFD17DD"/>
    <w:rsid w:val="6FED1299"/>
    <w:rsid w:val="710C6B06"/>
    <w:rsid w:val="741F35B0"/>
    <w:rsid w:val="74C083BC"/>
    <w:rsid w:val="758EA900"/>
    <w:rsid w:val="7696D82D"/>
    <w:rsid w:val="78A81F72"/>
    <w:rsid w:val="7BF53F64"/>
    <w:rsid w:val="7C64080E"/>
    <w:rsid w:val="7F28184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D16D5"/>
  <w15:docId w15:val="{F845D61C-F73C-4DF6-BF09-0CED60AF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6E9"/>
  </w:style>
  <w:style w:type="paragraph" w:styleId="Heading1">
    <w:name w:val="heading 1"/>
    <w:basedOn w:val="Normal"/>
    <w:next w:val="Normal"/>
    <w:link w:val="Heading1Char"/>
    <w:uiPriority w:val="9"/>
    <w:qFormat/>
    <w:rsid w:val="00115692"/>
    <w:pPr>
      <w:keepNext/>
      <w:keepLines/>
      <w:spacing w:before="480" w:after="240"/>
      <w:ind w:left="810"/>
      <w:outlineLvl w:val="0"/>
    </w:pPr>
    <w:rPr>
      <w:rFonts w:ascii="Arial" w:eastAsiaTheme="majorEastAsia" w:hAnsi="Arial" w:cstheme="majorBidi"/>
      <w:b/>
      <w:bCs/>
      <w:color w:val="365F91"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26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52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6E9"/>
    <w:rPr>
      <w:rFonts w:ascii="Tahoma" w:hAnsi="Tahoma" w:cs="Tahoma"/>
      <w:sz w:val="16"/>
      <w:szCs w:val="16"/>
    </w:rPr>
  </w:style>
  <w:style w:type="paragraph" w:styleId="ListParagraph">
    <w:name w:val="List Paragraph"/>
    <w:basedOn w:val="Normal"/>
    <w:uiPriority w:val="34"/>
    <w:qFormat/>
    <w:rsid w:val="008B2BCE"/>
    <w:pPr>
      <w:ind w:left="720"/>
      <w:contextualSpacing/>
    </w:pPr>
  </w:style>
  <w:style w:type="paragraph" w:styleId="Header">
    <w:name w:val="header"/>
    <w:basedOn w:val="Normal"/>
    <w:link w:val="HeaderChar"/>
    <w:uiPriority w:val="99"/>
    <w:unhideWhenUsed/>
    <w:rsid w:val="00191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E76"/>
  </w:style>
  <w:style w:type="paragraph" w:styleId="Footer">
    <w:name w:val="footer"/>
    <w:basedOn w:val="Normal"/>
    <w:link w:val="FooterChar"/>
    <w:uiPriority w:val="99"/>
    <w:unhideWhenUsed/>
    <w:rsid w:val="008B4545"/>
    <w:pPr>
      <w:tabs>
        <w:tab w:val="center" w:pos="4680"/>
        <w:tab w:val="right" w:pos="9360"/>
      </w:tabs>
      <w:spacing w:after="0" w:line="240" w:lineRule="auto"/>
      <w:jc w:val="center"/>
    </w:pPr>
    <w:rPr>
      <w:rFonts w:ascii="Arial" w:hAnsi="Arial"/>
      <w:sz w:val="20"/>
    </w:rPr>
  </w:style>
  <w:style w:type="character" w:customStyle="1" w:styleId="FooterChar">
    <w:name w:val="Footer Char"/>
    <w:basedOn w:val="DefaultParagraphFont"/>
    <w:link w:val="Footer"/>
    <w:uiPriority w:val="99"/>
    <w:rsid w:val="008B4545"/>
    <w:rPr>
      <w:rFonts w:ascii="Arial" w:hAnsi="Arial"/>
      <w:sz w:val="20"/>
    </w:rPr>
  </w:style>
  <w:style w:type="character" w:styleId="CommentReference">
    <w:name w:val="annotation reference"/>
    <w:basedOn w:val="DefaultParagraphFont"/>
    <w:uiPriority w:val="99"/>
    <w:semiHidden/>
    <w:unhideWhenUsed/>
    <w:rsid w:val="00A03030"/>
    <w:rPr>
      <w:sz w:val="16"/>
      <w:szCs w:val="16"/>
    </w:rPr>
  </w:style>
  <w:style w:type="paragraph" w:styleId="CommentText">
    <w:name w:val="annotation text"/>
    <w:basedOn w:val="Normal"/>
    <w:link w:val="CommentTextChar"/>
    <w:uiPriority w:val="99"/>
    <w:unhideWhenUsed/>
    <w:rsid w:val="00A03030"/>
    <w:pPr>
      <w:spacing w:line="240" w:lineRule="auto"/>
    </w:pPr>
    <w:rPr>
      <w:sz w:val="20"/>
      <w:szCs w:val="20"/>
    </w:rPr>
  </w:style>
  <w:style w:type="character" w:customStyle="1" w:styleId="CommentTextChar">
    <w:name w:val="Comment Text Char"/>
    <w:basedOn w:val="DefaultParagraphFont"/>
    <w:link w:val="CommentText"/>
    <w:uiPriority w:val="99"/>
    <w:rsid w:val="00A03030"/>
    <w:rPr>
      <w:sz w:val="20"/>
      <w:szCs w:val="20"/>
    </w:rPr>
  </w:style>
  <w:style w:type="paragraph" w:styleId="CommentSubject">
    <w:name w:val="annotation subject"/>
    <w:basedOn w:val="CommentText"/>
    <w:next w:val="CommentText"/>
    <w:link w:val="CommentSubjectChar"/>
    <w:uiPriority w:val="99"/>
    <w:semiHidden/>
    <w:unhideWhenUsed/>
    <w:rsid w:val="00A03030"/>
    <w:rPr>
      <w:b/>
      <w:bCs/>
    </w:rPr>
  </w:style>
  <w:style w:type="character" w:customStyle="1" w:styleId="CommentSubjectChar">
    <w:name w:val="Comment Subject Char"/>
    <w:basedOn w:val="CommentTextChar"/>
    <w:link w:val="CommentSubject"/>
    <w:uiPriority w:val="99"/>
    <w:semiHidden/>
    <w:rsid w:val="00A03030"/>
    <w:rPr>
      <w:b/>
      <w:bCs/>
      <w:sz w:val="20"/>
      <w:szCs w:val="20"/>
    </w:rPr>
  </w:style>
  <w:style w:type="character" w:styleId="UnresolvedMention">
    <w:name w:val="Unresolved Mention"/>
    <w:basedOn w:val="DefaultParagraphFont"/>
    <w:uiPriority w:val="99"/>
    <w:unhideWhenUsed/>
    <w:rsid w:val="00193C87"/>
    <w:rPr>
      <w:color w:val="605E5C"/>
      <w:shd w:val="clear" w:color="auto" w:fill="E1DFDD"/>
    </w:rPr>
  </w:style>
  <w:style w:type="character" w:styleId="Mention">
    <w:name w:val="Mention"/>
    <w:basedOn w:val="DefaultParagraphFont"/>
    <w:uiPriority w:val="99"/>
    <w:unhideWhenUsed/>
    <w:rsid w:val="00193C87"/>
    <w:rPr>
      <w:color w:val="2B579A"/>
      <w:shd w:val="clear" w:color="auto" w:fill="E1DFDD"/>
    </w:rPr>
  </w:style>
  <w:style w:type="character" w:customStyle="1" w:styleId="normaltextrun">
    <w:name w:val="normaltextrun"/>
    <w:basedOn w:val="DefaultParagraphFont"/>
    <w:rsid w:val="004A7D5F"/>
  </w:style>
  <w:style w:type="paragraph" w:customStyle="1" w:styleId="BDandAS">
    <w:name w:val="BD and AS"/>
    <w:basedOn w:val="Normal"/>
    <w:qFormat/>
    <w:rsid w:val="0009616A"/>
    <w:pPr>
      <w:spacing w:after="120"/>
    </w:pPr>
    <w:rPr>
      <w:rFonts w:ascii="Arial" w:hAnsi="Arial"/>
      <w:sz w:val="20"/>
    </w:rPr>
  </w:style>
  <w:style w:type="paragraph" w:customStyle="1" w:styleId="CDandE">
    <w:name w:val="CD and E"/>
    <w:basedOn w:val="Normal"/>
    <w:qFormat/>
    <w:rsid w:val="0009616A"/>
    <w:pPr>
      <w:spacing w:after="0"/>
    </w:pPr>
    <w:rPr>
      <w:rFonts w:ascii="Arial" w:hAnsi="Arial"/>
      <w:sz w:val="20"/>
    </w:rPr>
  </w:style>
  <w:style w:type="character" w:customStyle="1" w:styleId="m1290681958824310775normaltextrun">
    <w:name w:val="m_1290681958824310775normaltextrun"/>
    <w:basedOn w:val="DefaultParagraphFont"/>
    <w:rsid w:val="009D6145"/>
  </w:style>
  <w:style w:type="character" w:styleId="Hyperlink">
    <w:name w:val="Hyperlink"/>
    <w:basedOn w:val="DefaultParagraphFont"/>
    <w:uiPriority w:val="99"/>
    <w:unhideWhenUsed/>
    <w:rsid w:val="00847481"/>
    <w:rPr>
      <w:color w:val="0000FF"/>
      <w:u w:val="single"/>
    </w:rPr>
  </w:style>
  <w:style w:type="character" w:customStyle="1" w:styleId="Heading1Char">
    <w:name w:val="Heading 1 Char"/>
    <w:basedOn w:val="DefaultParagraphFont"/>
    <w:link w:val="Heading1"/>
    <w:uiPriority w:val="9"/>
    <w:rsid w:val="00115692"/>
    <w:rPr>
      <w:rFonts w:ascii="Arial" w:eastAsiaTheme="majorEastAsia" w:hAnsi="Arial" w:cstheme="majorBidi"/>
      <w:b/>
      <w:bCs/>
      <w:color w:val="365F91" w:themeColor="accent1" w:themeShade="BF"/>
      <w:sz w:val="24"/>
      <w:szCs w:val="32"/>
    </w:rPr>
  </w:style>
  <w:style w:type="paragraph" w:customStyle="1" w:styleId="Tableheading12black">
    <w:name w:val="Table heading 12 black"/>
    <w:basedOn w:val="Normal"/>
    <w:qFormat/>
    <w:rsid w:val="00BF529C"/>
    <w:pPr>
      <w:spacing w:before="40" w:after="40" w:line="240" w:lineRule="auto"/>
      <w:jc w:val="center"/>
    </w:pPr>
    <w:rPr>
      <w:rFonts w:ascii="Arial" w:hAnsi="Arial" w:cs="Arial"/>
      <w:b/>
      <w:bCs/>
      <w:sz w:val="24"/>
      <w:szCs w:val="24"/>
    </w:rPr>
  </w:style>
  <w:style w:type="paragraph" w:customStyle="1" w:styleId="Tableheading12white">
    <w:name w:val="Table heading 12 white"/>
    <w:basedOn w:val="Tableheading12black"/>
    <w:qFormat/>
    <w:rsid w:val="00D60791"/>
    <w:rPr>
      <w:color w:val="FFFFFF" w:themeColor="background1"/>
    </w:rPr>
  </w:style>
  <w:style w:type="paragraph" w:customStyle="1" w:styleId="Copyright">
    <w:name w:val="Copyright"/>
    <w:basedOn w:val="Normal"/>
    <w:qFormat/>
    <w:rsid w:val="006C2502"/>
    <w:pPr>
      <w:spacing w:before="160" w:after="160" w:line="240" w:lineRule="auto"/>
    </w:pPr>
    <w:rPr>
      <w:rFonts w:ascii="Arial" w:hAnsi="Arial"/>
      <w:sz w:val="20"/>
      <w:lang w:val="en-AU"/>
    </w:rPr>
  </w:style>
  <w:style w:type="paragraph" w:customStyle="1" w:styleId="paragraph">
    <w:name w:val="paragraph"/>
    <w:basedOn w:val="Normal"/>
    <w:rsid w:val="00B265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26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52792">
      <w:bodyDiv w:val="1"/>
      <w:marLeft w:val="0"/>
      <w:marRight w:val="0"/>
      <w:marTop w:val="0"/>
      <w:marBottom w:val="0"/>
      <w:divBdr>
        <w:top w:val="none" w:sz="0" w:space="0" w:color="auto"/>
        <w:left w:val="none" w:sz="0" w:space="0" w:color="auto"/>
        <w:bottom w:val="none" w:sz="0" w:space="0" w:color="auto"/>
        <w:right w:val="none" w:sz="0" w:space="0" w:color="auto"/>
      </w:divBdr>
      <w:divsChild>
        <w:div w:id="649363125">
          <w:marLeft w:val="0"/>
          <w:marRight w:val="0"/>
          <w:marTop w:val="0"/>
          <w:marBottom w:val="0"/>
          <w:divBdr>
            <w:top w:val="none" w:sz="0" w:space="0" w:color="auto"/>
            <w:left w:val="none" w:sz="0" w:space="0" w:color="auto"/>
            <w:bottom w:val="none" w:sz="0" w:space="0" w:color="auto"/>
            <w:right w:val="none" w:sz="0" w:space="0" w:color="auto"/>
          </w:divBdr>
        </w:div>
        <w:div w:id="793521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ustraliancurriculum.edu.au/copyright-and-terms-of-u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s://www.australiancurriculum.edu.au/copyright-and-terms-of-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E8738894AF32AB45B0D1ABDD7CE450C8" ma:contentTypeVersion="44" ma:contentTypeDescription="" ma:contentTypeScope="" ma:versionID="78d8cbc4eff0750dd700865c204e6c84">
  <xsd:schema xmlns:xsd="http://www.w3.org/2001/XMLSchema" xmlns:xs="http://www.w3.org/2001/XMLSchema" xmlns:p="http://schemas.microsoft.com/office/2006/metadata/properties" xmlns:ns2="4f33b607-0ce3-460b-86f6-dba09837108c" xmlns:ns3="45214841-d179-4c24-9a02-a1acd0d71600" xmlns:ns4="6527affb-65bc-488a-a6d2-a176a88021df" xmlns:ns5="e44be4b9-3863-4a40-b4c6-aeb3ef538c55" xmlns:ns6="63a17356-20e6-4279-b981-50b63af1e713" targetNamespace="http://schemas.microsoft.com/office/2006/metadata/properties" ma:root="true" ma:fieldsID="372d6a60576a5913dc64243822e048c9" ns2:_="" ns3:_="" ns4:_="" ns5:_="" ns6:_="">
    <xsd:import namespace="4f33b607-0ce3-460b-86f6-dba09837108c"/>
    <xsd:import namespace="45214841-d179-4c24-9a02-a1acd0d71600"/>
    <xsd:import namespace="6527affb-65bc-488a-a6d2-a176a88021df"/>
    <xsd:import namespace="e44be4b9-3863-4a40-b4c6-aeb3ef538c55"/>
    <xsd:import namespace="63a17356-20e6-4279-b981-50b63af1e713"/>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Category" minOccurs="0"/>
                <xsd:element ref="ns6:MediaServiceMetadata" minOccurs="0"/>
                <xsd:element ref="ns6:MediaServiceFastMetadata" minOccurs="0"/>
                <xsd:element ref="ns6:MediaServiceAutoTags" minOccurs="0"/>
                <xsd:element ref="ns6:MediaServiceOCR" minOccurs="0"/>
                <xsd:element ref="ns6:MediaServiceDateTaken" minOccurs="0"/>
                <xsd:element ref="ns6:MediaServiceLocation" minOccurs="0"/>
                <xsd:element ref="ns5:SharedWithUsers" minOccurs="0"/>
                <xsd:element ref="ns5:SharedWithDetails" minOccurs="0"/>
                <xsd:element ref="ns6:MediaServiceGenerationTime" minOccurs="0"/>
                <xsd:element ref="ns6:MediaServiceEventHashCode" minOccurs="0"/>
                <xsd:element ref="ns2:RevIMUnique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3b607-0ce3-460b-86f6-dba09837108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eb5ef43-09bc-4d85-93ab-12ce2a17cdfa}" ma:internalName="TaxCatchAll" ma:showField="CatchAllData"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eb5ef43-09bc-4d85-93ab-12ce2a17cdfa}" ma:internalName="TaxCatchAllLabel" ma:readOnly="true" ma:showField="CatchAllDataLabel"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RevIMUniqueID" ma:index="33" nillable="true" ma:displayName="Document Number" ma:internalName="RevIM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nillable="true" ma:taxonomy="true" ma:internalName="l9457d2d0f024b668a15488d0cd85765" ma:taxonomyFieldName="ac_documenttype" ma:displayName="Document Type" ma:readOnly="false" ma:default="" ma:fieldId="{59457d2d-0f02-4b66-8a15-488d0cd85765}"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7617a46b5024bd5af959b3036b162ea" ma:index="12" nillable="true" ma:taxonomy="true" ma:internalName="p7617a46b5024bd5af959b3036b162ea" ma:taxonomyFieldName="ac_Activity" ma:displayName="Activity" ma:readOnly="false" ma:default="" ma:fieldId="{97617a46-b502-4bd5-af95-9b3036b162ea}" ma:sspId="13422630-9eec-4f54-8260-f622dc549660" ma:termSetId="4d94a6a9-32d8-4602-abc1-58a3e66b06f6" ma:anchorId="d766b358-8515-4dad-b99d-e3bdb73f13c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4d94a6a9-32d8-4602-abc1-58a3e66b06f6" ma:anchorId="9530fc1f-8efa-4429-95e1-c7881984da1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17356-20e6-4279-b981-50b63af1e713" elementFormDefault="qualified">
    <xsd:import namespace="http://schemas.microsoft.com/office/2006/documentManagement/types"/>
    <xsd:import namespace="http://schemas.microsoft.com/office/infopath/2007/PartnerControls"/>
    <xsd:element name="Category" ma:index="20" nillable="true" ma:displayName="Category" ma:hidden="true" ma:internalName="Category" ma:readOnly="false">
      <xsd:simpleType>
        <xsd:restriction base="dms:Text">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f33b607-0ce3-460b-86f6-dba09837108c"/>
    <SharedWithUsers xmlns="e44be4b9-3863-4a40-b4c6-aeb3ef538c55">
      <UserInfo>
        <DisplayName>Davy, Janet</DisplayName>
        <AccountId>96</AccountId>
        <AccountType/>
      </UserInfo>
      <UserInfo>
        <DisplayName>Isaacs, Melanie</DisplayName>
        <AccountId>2117</AccountId>
        <AccountType/>
      </UserInfo>
      <UserInfo>
        <DisplayName>Gallagher, Terry</DisplayName>
        <AccountId>2137</AccountId>
        <AccountType/>
      </UserInfo>
      <UserInfo>
        <DisplayName>King, Julie</DisplayName>
        <AccountId>95</AccountId>
        <AccountType/>
      </UserInfo>
      <UserInfo>
        <DisplayName>Wisdom, Natasha</DisplayName>
        <AccountId>65</AccountId>
        <AccountType/>
      </UserInfo>
    </SharedWithUsers>
    <TaxCatchAllLabel xmlns="4f33b607-0ce3-460b-86f6-dba09837108c"/>
    <p7617a46b5024bd5af959b3036b162ea xmlns="45214841-d179-4c24-9a02-a1acd0d71600">
      <Terms xmlns="http://schemas.microsoft.com/office/infopath/2007/PartnerControls"/>
    </p7617a46b5024bd5af959b3036b162ea>
    <Category xmlns="63a17356-20e6-4279-b981-50b63af1e713" xsi:nil="true"/>
    <l9457d2d0f024b668a15488d0cd85765 xmlns="45214841-d179-4c24-9a02-a1acd0d71600">
      <Terms xmlns="http://schemas.microsoft.com/office/infopath/2007/PartnerControls"/>
    </l9457d2d0f024b668a15488d0cd85765>
    <ac_group xmlns="e44be4b9-3863-4a40-b4c6-aeb3ef538c55" xsi:nil="true"/>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documentManagement>
</p:properties>
</file>

<file path=customXml/itemProps1.xml><?xml version="1.0" encoding="utf-8"?>
<ds:datastoreItem xmlns:ds="http://schemas.openxmlformats.org/officeDocument/2006/customXml" ds:itemID="{62E1A607-C26A-4831-8DE5-DD9DC7645D93}">
  <ds:schemaRefs>
    <ds:schemaRef ds:uri="http://schemas.openxmlformats.org/officeDocument/2006/bibliography"/>
  </ds:schemaRefs>
</ds:datastoreItem>
</file>

<file path=customXml/itemProps2.xml><?xml version="1.0" encoding="utf-8"?>
<ds:datastoreItem xmlns:ds="http://schemas.openxmlformats.org/officeDocument/2006/customXml" ds:itemID="{A006C017-B46F-41B3-9532-AB5F45C08ABE}">
  <ds:schemaRefs>
    <ds:schemaRef ds:uri="http://schemas.microsoft.com/sharepoint/v3/contenttype/forms"/>
  </ds:schemaRefs>
</ds:datastoreItem>
</file>

<file path=customXml/itemProps3.xml><?xml version="1.0" encoding="utf-8"?>
<ds:datastoreItem xmlns:ds="http://schemas.openxmlformats.org/officeDocument/2006/customXml" ds:itemID="{0D282381-C007-4193-A6B0-D3EF4E31F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3b607-0ce3-460b-86f6-dba09837108c"/>
    <ds:schemaRef ds:uri="45214841-d179-4c24-9a02-a1acd0d71600"/>
    <ds:schemaRef ds:uri="6527affb-65bc-488a-a6d2-a176a88021df"/>
    <ds:schemaRef ds:uri="e44be4b9-3863-4a40-b4c6-aeb3ef538c55"/>
    <ds:schemaRef ds:uri="63a17356-20e6-4279-b981-50b63af1e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7CD684-D31C-427A-B728-12FCF759D9E9}">
  <ds:schemaRefs>
    <ds:schemaRef ds:uri="http://schemas.microsoft.com/office/2006/metadata/properties"/>
    <ds:schemaRef ds:uri="http://schemas.microsoft.com/office/infopath/2007/PartnerControls"/>
    <ds:schemaRef ds:uri="4f33b607-0ce3-460b-86f6-dba09837108c"/>
    <ds:schemaRef ds:uri="e44be4b9-3863-4a40-b4c6-aeb3ef538c55"/>
    <ds:schemaRef ds:uri="45214841-d179-4c24-9a02-a1acd0d71600"/>
    <ds:schemaRef ds:uri="63a17356-20e6-4279-b981-50b63af1e713"/>
    <ds:schemaRef ds:uri="6527affb-65bc-488a-a6d2-a176a88021d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734</Words>
  <Characters>4451</Characters>
  <Application>Microsoft Office Word</Application>
  <DocSecurity>0</DocSecurity>
  <Lines>103</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cp:lastModifiedBy>Foster, Sharon</cp:lastModifiedBy>
  <cp:revision>3</cp:revision>
  <dcterms:created xsi:type="dcterms:W3CDTF">2021-04-27T12:59:00Z</dcterms:created>
  <dcterms:modified xsi:type="dcterms:W3CDTF">2021-04-27T13:01:00Z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0x0101007A9D79ACD8B79D48A9A515D2FD05854800E8738894AF32AB45B0D1ABDD7CE450C8</vt:lpwstr>
  </property>
  <property fmtid="{D5CDD505-2E9C-101B-9397-08002B2CF9AE}" pid="3" name="Document Type">
    <vt:lpwstr>3;#Documentation|500261c7-7da6-48bf-9279-893387d5a699</vt:lpwstr>
  </property>
  <property fmtid="{D5CDD505-2E9C-101B-9397-08002B2CF9AE}" pid="4" name="Activity">
    <vt:lpwstr>1;#Curriculum Refinement|2c075fd4-8d08-4822-9116-87a93a66feda</vt:lpwstr>
  </property>
  <property fmtid="{D5CDD505-2E9C-101B-9397-08002B2CF9AE}" pid="5" name="Keyword">
    <vt:lpwstr/>
  </property>
  <property fmtid="{D5CDD505-2E9C-101B-9397-08002B2CF9AE}" pid="6" name="MSIP_Label_513c403f-62ba-48c5-b221-2519db7cca50_Enabled">
    <vt:lpwstr>true</vt:lpwstr>
  </property>
  <property fmtid="{D5CDD505-2E9C-101B-9397-08002B2CF9AE}" pid="7" name="MSIP_Label_513c403f-62ba-48c5-b221-2519db7cca50_SetDate">
    <vt:lpwstr>2021-03-29T20:04:23Z</vt:lpwstr>
  </property>
  <property fmtid="{D5CDD505-2E9C-101B-9397-08002B2CF9AE}" pid="8" name="MSIP_Label_513c403f-62ba-48c5-b221-2519db7cca50_Method">
    <vt:lpwstr>Privileged</vt:lpwstr>
  </property>
  <property fmtid="{D5CDD505-2E9C-101B-9397-08002B2CF9AE}" pid="9" name="MSIP_Label_513c403f-62ba-48c5-b221-2519db7cca50_Name">
    <vt:lpwstr>OFFICIAL</vt:lpwstr>
  </property>
  <property fmtid="{D5CDD505-2E9C-101B-9397-08002B2CF9AE}" pid="10" name="MSIP_Label_513c403f-62ba-48c5-b221-2519db7cca50_SiteId">
    <vt:lpwstr>6cf76a3a-a824-4270-9200-3d71673ec678</vt:lpwstr>
  </property>
  <property fmtid="{D5CDD505-2E9C-101B-9397-08002B2CF9AE}" pid="11" name="MSIP_Label_513c403f-62ba-48c5-b221-2519db7cca50_ActionId">
    <vt:lpwstr>0e7bb64d-1fe6-420f-937f-f34ad459ddf1</vt:lpwstr>
  </property>
  <property fmtid="{D5CDD505-2E9C-101B-9397-08002B2CF9AE}" pid="12" name="MSIP_Label_513c403f-62ba-48c5-b221-2519db7cca50_ContentBits">
    <vt:lpwstr>1</vt:lpwstr>
  </property>
  <property fmtid="{D5CDD505-2E9C-101B-9397-08002B2CF9AE}" pid="13" name="Order">
    <vt:r8>22700</vt:r8>
  </property>
  <property fmtid="{D5CDD505-2E9C-101B-9397-08002B2CF9AE}" pid="14" name="p9102bc9558a4fb390ba61039157f4fe">
    <vt:lpwstr>Documentation|500261c7-7da6-48bf-9279-893387d5a699</vt:lpwstr>
  </property>
  <property fmtid="{D5CDD505-2E9C-101B-9397-08002B2CF9AE}" pid="15" name="xd_Signature">
    <vt:bool>false</vt:bool>
  </property>
  <property fmtid="{D5CDD505-2E9C-101B-9397-08002B2CF9AE}" pid="16" name="f4e4642d2728489ab39be0cfc7b0a8b3">
    <vt:lpwstr>Curriculum Refinement|2c075fd4-8d08-4822-9116-87a93a66feda</vt:lpwstr>
  </property>
  <property fmtid="{D5CDD505-2E9C-101B-9397-08002B2CF9AE}" pid="17" name="xd_ProgID">
    <vt:lpwstr/>
  </property>
  <property fmtid="{D5CDD505-2E9C-101B-9397-08002B2CF9AE}" pid="18" name="ComplianceAssetId">
    <vt:lpwstr/>
  </property>
  <property fmtid="{D5CDD505-2E9C-101B-9397-08002B2CF9AE}" pid="19" name="TemplateUrl">
    <vt:lpwstr/>
  </property>
  <property fmtid="{D5CDD505-2E9C-101B-9397-08002B2CF9AE}" pid="20" name="_ExtendedDescription">
    <vt:lpwstr/>
  </property>
  <property fmtid="{D5CDD505-2E9C-101B-9397-08002B2CF9AE}" pid="21" name="ac_keywords">
    <vt:lpwstr/>
  </property>
  <property fmtid="{D5CDD505-2E9C-101B-9397-08002B2CF9AE}" pid="22" name="ac_documenttype">
    <vt:lpwstr/>
  </property>
  <property fmtid="{D5CDD505-2E9C-101B-9397-08002B2CF9AE}" pid="23" name="ac_Activity">
    <vt:lpwstr/>
  </property>
</Properties>
</file>