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B8" w:rsidRPr="00766D64" w:rsidRDefault="00766D64" w:rsidP="00766D64">
      <w:pPr>
        <w:jc w:val="center"/>
        <w:rPr>
          <w:b/>
          <w:sz w:val="40"/>
          <w:szCs w:val="40"/>
        </w:rPr>
      </w:pPr>
      <w:bookmarkStart w:id="0" w:name="_GoBack"/>
      <w:bookmarkEnd w:id="0"/>
      <w:r w:rsidRPr="00766D64">
        <w:rPr>
          <w:b/>
          <w:sz w:val="40"/>
          <w:szCs w:val="40"/>
        </w:rPr>
        <w:t xml:space="preserve">Revision – Changing Government Policies </w:t>
      </w:r>
      <w:proofErr w:type="gramStart"/>
      <w:r>
        <w:rPr>
          <w:b/>
          <w:sz w:val="40"/>
          <w:szCs w:val="40"/>
        </w:rPr>
        <w:t>Over</w:t>
      </w:r>
      <w:proofErr w:type="gramEnd"/>
      <w:r>
        <w:rPr>
          <w:b/>
          <w:sz w:val="40"/>
          <w:szCs w:val="40"/>
        </w:rPr>
        <w:t xml:space="preserve"> Time </w:t>
      </w:r>
    </w:p>
    <w:p w:rsidR="00766D64" w:rsidRDefault="00766D64" w:rsidP="00766D64">
      <w:pPr>
        <w:jc w:val="center"/>
      </w:pPr>
    </w:p>
    <w:tbl>
      <w:tblPr>
        <w:tblStyle w:val="TableGrid"/>
        <w:tblW w:w="0" w:type="auto"/>
        <w:tblLook w:val="04A0" w:firstRow="1" w:lastRow="0" w:firstColumn="1" w:lastColumn="0" w:noHBand="0" w:noVBand="1"/>
      </w:tblPr>
      <w:tblGrid>
        <w:gridCol w:w="1555"/>
        <w:gridCol w:w="1559"/>
        <w:gridCol w:w="5599"/>
        <w:gridCol w:w="5599"/>
      </w:tblGrid>
      <w:tr w:rsidR="00766D64" w:rsidRPr="00766D64" w:rsidTr="00013BB3">
        <w:trPr>
          <w:cantSplit/>
        </w:trPr>
        <w:tc>
          <w:tcPr>
            <w:tcW w:w="1555" w:type="dxa"/>
          </w:tcPr>
          <w:p w:rsidR="00766D64" w:rsidRPr="00766D64" w:rsidRDefault="00766D64" w:rsidP="00766D64">
            <w:pPr>
              <w:jc w:val="center"/>
              <w:rPr>
                <w:b/>
              </w:rPr>
            </w:pPr>
            <w:r>
              <w:rPr>
                <w:b/>
              </w:rPr>
              <w:t xml:space="preserve">Policy </w:t>
            </w:r>
          </w:p>
        </w:tc>
        <w:tc>
          <w:tcPr>
            <w:tcW w:w="1559" w:type="dxa"/>
          </w:tcPr>
          <w:p w:rsidR="00766D64" w:rsidRPr="00766D64" w:rsidRDefault="00766D64" w:rsidP="00766D64">
            <w:pPr>
              <w:jc w:val="center"/>
              <w:rPr>
                <w:b/>
              </w:rPr>
            </w:pPr>
            <w:r>
              <w:rPr>
                <w:b/>
              </w:rPr>
              <w:t xml:space="preserve">Date </w:t>
            </w:r>
          </w:p>
        </w:tc>
        <w:tc>
          <w:tcPr>
            <w:tcW w:w="5599" w:type="dxa"/>
          </w:tcPr>
          <w:p w:rsidR="00766D64" w:rsidRPr="00766D64" w:rsidRDefault="00766D64" w:rsidP="00766D64">
            <w:pPr>
              <w:jc w:val="center"/>
              <w:rPr>
                <w:b/>
              </w:rPr>
            </w:pPr>
            <w:r>
              <w:rPr>
                <w:b/>
              </w:rPr>
              <w:t>Aims or reason for policy</w:t>
            </w:r>
          </w:p>
        </w:tc>
        <w:tc>
          <w:tcPr>
            <w:tcW w:w="5599" w:type="dxa"/>
          </w:tcPr>
          <w:p w:rsidR="00766D64" w:rsidRPr="00766D64" w:rsidRDefault="00766D64" w:rsidP="00766D64">
            <w:pPr>
              <w:jc w:val="center"/>
              <w:rPr>
                <w:b/>
              </w:rPr>
            </w:pPr>
            <w:r>
              <w:rPr>
                <w:b/>
              </w:rPr>
              <w:t>Impact on Aboriginal people</w:t>
            </w:r>
          </w:p>
        </w:tc>
      </w:tr>
      <w:tr w:rsidR="00766D64" w:rsidTr="00013BB3">
        <w:trPr>
          <w:cantSplit/>
        </w:trPr>
        <w:tc>
          <w:tcPr>
            <w:tcW w:w="1555" w:type="dxa"/>
          </w:tcPr>
          <w:p w:rsidR="00766D64" w:rsidRDefault="00766D64" w:rsidP="00766D64">
            <w:r>
              <w:t xml:space="preserve">Protectionism </w:t>
            </w:r>
          </w:p>
        </w:tc>
        <w:tc>
          <w:tcPr>
            <w:tcW w:w="1559" w:type="dxa"/>
          </w:tcPr>
          <w:p w:rsidR="00766D64" w:rsidRDefault="00766D64" w:rsidP="00766D64">
            <w:r>
              <w:t>1869-1937</w:t>
            </w:r>
          </w:p>
        </w:tc>
        <w:tc>
          <w:tcPr>
            <w:tcW w:w="5599" w:type="dxa"/>
          </w:tcPr>
          <w:p w:rsidR="00766D64" w:rsidRDefault="00766D64" w:rsidP="00766D64"/>
          <w:p w:rsidR="00D33C2E" w:rsidRDefault="00D33C2E" w:rsidP="00766D64"/>
          <w:p w:rsidR="00D33C2E" w:rsidRDefault="00D33C2E" w:rsidP="00766D64"/>
          <w:p w:rsidR="00D33C2E" w:rsidRDefault="00D33C2E" w:rsidP="00766D64"/>
          <w:p w:rsidR="00D33C2E" w:rsidRDefault="00D33C2E" w:rsidP="00766D64"/>
          <w:p w:rsidR="00D33C2E" w:rsidRDefault="00D33C2E" w:rsidP="00766D64"/>
          <w:p w:rsidR="00D33C2E" w:rsidRDefault="00D33C2E" w:rsidP="00766D64"/>
          <w:p w:rsidR="00D33C2E" w:rsidRDefault="00D33C2E" w:rsidP="00766D64"/>
          <w:p w:rsidR="00D33C2E" w:rsidRDefault="00D33C2E" w:rsidP="00766D64"/>
          <w:p w:rsidR="00D33C2E" w:rsidRDefault="00D33C2E" w:rsidP="00766D64"/>
          <w:p w:rsidR="00D33C2E" w:rsidRDefault="00D33C2E" w:rsidP="00766D64"/>
          <w:p w:rsidR="00013BB3" w:rsidRDefault="00013BB3" w:rsidP="00766D64"/>
          <w:p w:rsidR="00D33C2E" w:rsidRDefault="00D33C2E" w:rsidP="00766D64"/>
          <w:p w:rsidR="00D33C2E" w:rsidRDefault="00D33C2E" w:rsidP="00766D64"/>
          <w:p w:rsidR="00D33C2E" w:rsidRDefault="00D33C2E" w:rsidP="00766D64"/>
        </w:tc>
        <w:tc>
          <w:tcPr>
            <w:tcW w:w="5599" w:type="dxa"/>
          </w:tcPr>
          <w:p w:rsidR="00D33C2E" w:rsidRDefault="00D33C2E" w:rsidP="00766D64"/>
          <w:p w:rsidR="00D33C2E" w:rsidRDefault="00D33C2E" w:rsidP="00766D64"/>
          <w:p w:rsidR="00D33C2E" w:rsidRDefault="00D33C2E" w:rsidP="00766D64"/>
          <w:p w:rsidR="00D33C2E" w:rsidRDefault="00D33C2E" w:rsidP="00766D64"/>
          <w:p w:rsidR="00766D64" w:rsidRDefault="00766D64" w:rsidP="00766D64">
            <w:r>
              <w:t xml:space="preserve">Aboriginal people were forced onto missions and governments directed where and how they should live. Children were taken from their families and placed in schools where they could be trained to work as servants for white families. </w:t>
            </w:r>
          </w:p>
        </w:tc>
      </w:tr>
      <w:tr w:rsidR="00766D64" w:rsidTr="00013BB3">
        <w:trPr>
          <w:cantSplit/>
        </w:trPr>
        <w:tc>
          <w:tcPr>
            <w:tcW w:w="1555" w:type="dxa"/>
          </w:tcPr>
          <w:p w:rsidR="00766D64" w:rsidRDefault="00766D64" w:rsidP="00766D64">
            <w:r>
              <w:t>Assimilation</w:t>
            </w:r>
          </w:p>
        </w:tc>
        <w:tc>
          <w:tcPr>
            <w:tcW w:w="1559" w:type="dxa"/>
          </w:tcPr>
          <w:p w:rsidR="00766D64" w:rsidRDefault="00766D64" w:rsidP="00766D64">
            <w:r>
              <w:t>1937-1965</w:t>
            </w:r>
          </w:p>
        </w:tc>
        <w:tc>
          <w:tcPr>
            <w:tcW w:w="5599" w:type="dxa"/>
          </w:tcPr>
          <w:p w:rsidR="00D33C2E" w:rsidRDefault="00D33C2E" w:rsidP="00682EFE"/>
          <w:p w:rsidR="00D33C2E" w:rsidRDefault="00D33C2E" w:rsidP="00682EFE"/>
          <w:p w:rsidR="00D33C2E" w:rsidRDefault="00D33C2E" w:rsidP="00682EFE"/>
          <w:p w:rsidR="00D33C2E" w:rsidRDefault="00D33C2E" w:rsidP="00682EFE"/>
          <w:p w:rsidR="00766D64" w:rsidRDefault="00682EFE" w:rsidP="00682EFE">
            <w:r>
              <w:t xml:space="preserve">To ensure that Aboriginal people ‘not full of blood’ were absorbed into the white community. They would lose their cultural identity but have their ‘status’ raised.  </w:t>
            </w:r>
          </w:p>
          <w:p w:rsidR="008502E2" w:rsidRDefault="008502E2" w:rsidP="00682EFE"/>
          <w:p w:rsidR="008502E2" w:rsidRDefault="008502E2" w:rsidP="00682EFE"/>
          <w:p w:rsidR="00013BB3" w:rsidRDefault="00013BB3" w:rsidP="00682EFE"/>
        </w:tc>
        <w:tc>
          <w:tcPr>
            <w:tcW w:w="5599" w:type="dxa"/>
          </w:tcPr>
          <w:p w:rsidR="00766D64" w:rsidRDefault="00766D64" w:rsidP="00766D64"/>
          <w:p w:rsidR="00D33C2E" w:rsidRDefault="00D33C2E" w:rsidP="00766D64"/>
          <w:p w:rsidR="00D33C2E" w:rsidRDefault="00D33C2E" w:rsidP="00766D64"/>
          <w:p w:rsidR="00D33C2E" w:rsidRDefault="00D33C2E" w:rsidP="00766D64"/>
          <w:p w:rsidR="00D33C2E" w:rsidRDefault="00D33C2E" w:rsidP="00766D64"/>
          <w:p w:rsidR="00D33C2E" w:rsidRDefault="00D33C2E" w:rsidP="00766D64"/>
          <w:p w:rsidR="00D33C2E" w:rsidRDefault="00D33C2E" w:rsidP="00766D64"/>
          <w:p w:rsidR="00D33C2E" w:rsidRDefault="00D33C2E" w:rsidP="00766D64"/>
          <w:p w:rsidR="00D33C2E" w:rsidRDefault="00D33C2E" w:rsidP="00766D64"/>
          <w:p w:rsidR="00D33C2E" w:rsidRDefault="00D33C2E" w:rsidP="00766D64"/>
          <w:p w:rsidR="00D33C2E" w:rsidRDefault="00D33C2E" w:rsidP="00766D64"/>
          <w:p w:rsidR="00D33C2E" w:rsidRDefault="00D33C2E" w:rsidP="00766D64"/>
          <w:p w:rsidR="00D33C2E" w:rsidRDefault="00D33C2E" w:rsidP="00766D64"/>
          <w:p w:rsidR="00D33C2E" w:rsidRDefault="00D33C2E" w:rsidP="00766D64"/>
          <w:p w:rsidR="008502E2" w:rsidRDefault="008502E2" w:rsidP="00766D64"/>
        </w:tc>
      </w:tr>
      <w:tr w:rsidR="00766D64" w:rsidTr="00013BB3">
        <w:trPr>
          <w:cantSplit/>
        </w:trPr>
        <w:tc>
          <w:tcPr>
            <w:tcW w:w="1555" w:type="dxa"/>
          </w:tcPr>
          <w:p w:rsidR="00766D64" w:rsidRDefault="00766D64" w:rsidP="00766D64">
            <w:r>
              <w:lastRenderedPageBreak/>
              <w:t xml:space="preserve">Integration </w:t>
            </w:r>
          </w:p>
        </w:tc>
        <w:tc>
          <w:tcPr>
            <w:tcW w:w="1559" w:type="dxa"/>
          </w:tcPr>
          <w:p w:rsidR="00766D64" w:rsidRDefault="00766D64" w:rsidP="00766D64">
            <w:r>
              <w:t>1965-1972</w:t>
            </w:r>
          </w:p>
        </w:tc>
        <w:tc>
          <w:tcPr>
            <w:tcW w:w="5599" w:type="dxa"/>
          </w:tcPr>
          <w:p w:rsidR="00766D64" w:rsidRDefault="00766D64" w:rsidP="00766D64"/>
          <w:p w:rsidR="00D33C2E" w:rsidRDefault="00D33C2E" w:rsidP="00766D64"/>
          <w:p w:rsidR="00D33C2E" w:rsidRDefault="00D33C2E" w:rsidP="00766D64"/>
          <w:p w:rsidR="00D33C2E" w:rsidRDefault="00D33C2E" w:rsidP="00766D64"/>
          <w:p w:rsidR="00D33C2E" w:rsidRDefault="00D33C2E" w:rsidP="00766D64"/>
          <w:p w:rsidR="008502E2" w:rsidRDefault="008502E2" w:rsidP="00766D64"/>
          <w:p w:rsidR="008502E2" w:rsidRDefault="008502E2" w:rsidP="00766D64"/>
          <w:p w:rsidR="008502E2" w:rsidRDefault="008502E2" w:rsidP="00766D64"/>
          <w:p w:rsidR="008502E2" w:rsidRDefault="008502E2" w:rsidP="00766D64"/>
          <w:p w:rsidR="008502E2" w:rsidRDefault="008502E2" w:rsidP="00766D64"/>
          <w:p w:rsidR="008502E2" w:rsidRDefault="008502E2" w:rsidP="00766D64"/>
          <w:p w:rsidR="00D33C2E" w:rsidRDefault="00D33C2E" w:rsidP="00766D64"/>
          <w:p w:rsidR="00D33C2E" w:rsidRDefault="00D33C2E" w:rsidP="00766D64"/>
          <w:p w:rsidR="00013BB3" w:rsidRDefault="00013BB3" w:rsidP="00766D64"/>
          <w:p w:rsidR="00013BB3" w:rsidRDefault="00013BB3" w:rsidP="00766D64"/>
          <w:p w:rsidR="00013BB3" w:rsidRDefault="00013BB3" w:rsidP="00766D64"/>
        </w:tc>
        <w:tc>
          <w:tcPr>
            <w:tcW w:w="5599" w:type="dxa"/>
          </w:tcPr>
          <w:p w:rsidR="008502E2" w:rsidRDefault="008502E2" w:rsidP="00682EFE"/>
          <w:p w:rsidR="008502E2" w:rsidRDefault="008502E2" w:rsidP="00682EFE"/>
          <w:p w:rsidR="00013BB3" w:rsidRDefault="00013BB3" w:rsidP="00682EFE"/>
          <w:p w:rsidR="00C2407D" w:rsidRDefault="00C2407D" w:rsidP="00682EFE"/>
          <w:p w:rsidR="00766D64" w:rsidRDefault="00682EFE" w:rsidP="00682EFE">
            <w:r>
              <w:t xml:space="preserve">Despite the success of the 19167 Referendum, the Federal Government did not provide the funding needed to meet Aboriginal people’s needs and expectations. A new integration did not replace the old assimilation and Aboriginal culture and identity remained unappreciated. The Government began to stop taking Aboriginal children from their families. </w:t>
            </w:r>
          </w:p>
          <w:p w:rsidR="00C2407D" w:rsidRDefault="00C2407D" w:rsidP="00682EFE"/>
          <w:p w:rsidR="00C2407D" w:rsidRDefault="00C2407D" w:rsidP="00682EFE"/>
          <w:p w:rsidR="00013BB3" w:rsidRDefault="00013BB3" w:rsidP="00682EFE"/>
          <w:p w:rsidR="00013BB3" w:rsidRDefault="00013BB3" w:rsidP="00682EFE"/>
          <w:p w:rsidR="00C2407D" w:rsidRDefault="00C2407D" w:rsidP="00682EFE"/>
          <w:p w:rsidR="00C2407D" w:rsidRDefault="00C2407D" w:rsidP="00682EFE"/>
        </w:tc>
      </w:tr>
      <w:tr w:rsidR="00766D64" w:rsidTr="00013BB3">
        <w:trPr>
          <w:cantSplit/>
        </w:trPr>
        <w:tc>
          <w:tcPr>
            <w:tcW w:w="1555" w:type="dxa"/>
          </w:tcPr>
          <w:p w:rsidR="00766D64" w:rsidRDefault="00766D64" w:rsidP="00766D64">
            <w:r>
              <w:t>Self-Determination</w:t>
            </w:r>
          </w:p>
        </w:tc>
        <w:tc>
          <w:tcPr>
            <w:tcW w:w="1559" w:type="dxa"/>
          </w:tcPr>
          <w:p w:rsidR="00766D64" w:rsidRDefault="00766D64" w:rsidP="00766D64">
            <w:r>
              <w:t>1972-2005</w:t>
            </w:r>
          </w:p>
        </w:tc>
        <w:tc>
          <w:tcPr>
            <w:tcW w:w="5599" w:type="dxa"/>
          </w:tcPr>
          <w:p w:rsidR="00C2407D" w:rsidRDefault="00C2407D" w:rsidP="00766D64"/>
          <w:p w:rsidR="00013BB3" w:rsidRDefault="00013BB3" w:rsidP="00766D64"/>
          <w:p w:rsidR="00013BB3" w:rsidRDefault="00013BB3" w:rsidP="00766D64"/>
          <w:p w:rsidR="00C2407D" w:rsidRDefault="00C2407D" w:rsidP="00766D64"/>
          <w:p w:rsidR="00C2407D" w:rsidRDefault="00C2407D" w:rsidP="00766D64"/>
          <w:p w:rsidR="00766D64" w:rsidRDefault="00682EFE" w:rsidP="00766D64">
            <w:r>
              <w:t xml:space="preserve">This was introduced by the newly elected Gough Whitlam. This policy aimed to facilitate Aboriginal people’s involvement in decision making for and the management of their communities. </w:t>
            </w:r>
          </w:p>
          <w:p w:rsidR="00C2407D" w:rsidRDefault="00C2407D" w:rsidP="00766D64"/>
          <w:p w:rsidR="00C2407D" w:rsidRDefault="00C2407D" w:rsidP="00766D64"/>
          <w:p w:rsidR="00C2407D" w:rsidRDefault="00C2407D" w:rsidP="00766D64"/>
          <w:p w:rsidR="00013BB3" w:rsidRDefault="00013BB3" w:rsidP="00766D64"/>
          <w:p w:rsidR="00013BB3" w:rsidRDefault="00013BB3" w:rsidP="00766D64"/>
          <w:p w:rsidR="00013BB3" w:rsidRDefault="00013BB3" w:rsidP="00766D64"/>
          <w:p w:rsidR="00C2407D" w:rsidRDefault="00C2407D" w:rsidP="00766D64"/>
          <w:p w:rsidR="00013BB3" w:rsidRDefault="00013BB3" w:rsidP="00766D64"/>
        </w:tc>
        <w:tc>
          <w:tcPr>
            <w:tcW w:w="5599" w:type="dxa"/>
          </w:tcPr>
          <w:p w:rsidR="00766D64" w:rsidRDefault="00766D64" w:rsidP="00766D64"/>
          <w:p w:rsidR="00C2407D" w:rsidRDefault="00C2407D" w:rsidP="00766D64"/>
          <w:p w:rsidR="00C2407D" w:rsidRDefault="00C2407D" w:rsidP="00766D64"/>
          <w:p w:rsidR="00C2407D" w:rsidRDefault="00C2407D" w:rsidP="00766D64"/>
          <w:p w:rsidR="00C2407D" w:rsidRDefault="00C2407D" w:rsidP="00766D64"/>
          <w:p w:rsidR="00C2407D" w:rsidRDefault="00C2407D" w:rsidP="00766D64"/>
          <w:p w:rsidR="00C2407D" w:rsidRDefault="00C2407D" w:rsidP="00766D64"/>
          <w:p w:rsidR="00C2407D" w:rsidRDefault="00C2407D" w:rsidP="00766D64"/>
          <w:p w:rsidR="00C2407D" w:rsidRDefault="00C2407D" w:rsidP="00766D64"/>
          <w:p w:rsidR="00C2407D" w:rsidRDefault="00C2407D" w:rsidP="00766D64"/>
          <w:p w:rsidR="00C2407D" w:rsidRDefault="00C2407D" w:rsidP="00766D64"/>
          <w:p w:rsidR="00C2407D" w:rsidRDefault="00C2407D" w:rsidP="00766D64"/>
          <w:p w:rsidR="00C2407D" w:rsidRDefault="00C2407D" w:rsidP="00766D64"/>
          <w:p w:rsidR="00C2407D" w:rsidRDefault="00C2407D" w:rsidP="00766D64"/>
        </w:tc>
      </w:tr>
      <w:tr w:rsidR="00766D64" w:rsidTr="00013BB3">
        <w:trPr>
          <w:cantSplit/>
        </w:trPr>
        <w:tc>
          <w:tcPr>
            <w:tcW w:w="1555" w:type="dxa"/>
          </w:tcPr>
          <w:p w:rsidR="00766D64" w:rsidRDefault="00766D64" w:rsidP="00766D64">
            <w:r>
              <w:lastRenderedPageBreak/>
              <w:t xml:space="preserve">Reconciliation   </w:t>
            </w:r>
          </w:p>
        </w:tc>
        <w:tc>
          <w:tcPr>
            <w:tcW w:w="1559" w:type="dxa"/>
          </w:tcPr>
          <w:p w:rsidR="00766D64" w:rsidRDefault="00766D64" w:rsidP="00766D64">
            <w:r>
              <w:t>1991-late 1990s</w:t>
            </w:r>
          </w:p>
        </w:tc>
        <w:tc>
          <w:tcPr>
            <w:tcW w:w="5599" w:type="dxa"/>
          </w:tcPr>
          <w:p w:rsidR="00766D64" w:rsidRDefault="00766D64"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766D64"/>
        </w:tc>
        <w:tc>
          <w:tcPr>
            <w:tcW w:w="5599" w:type="dxa"/>
          </w:tcPr>
          <w:p w:rsidR="00C2407D" w:rsidRDefault="00C2407D" w:rsidP="00682EFE"/>
          <w:p w:rsidR="00C2407D" w:rsidRDefault="00C2407D" w:rsidP="00682EFE"/>
          <w:p w:rsidR="00C2407D" w:rsidRDefault="00C2407D" w:rsidP="00682EFE"/>
          <w:p w:rsidR="00C2407D" w:rsidRDefault="00C2407D" w:rsidP="00682EFE"/>
          <w:p w:rsidR="00013BB3" w:rsidRDefault="00013BB3" w:rsidP="00682EFE"/>
          <w:p w:rsidR="00766D64" w:rsidRDefault="00682EFE" w:rsidP="00682EFE">
            <w:r>
              <w:t xml:space="preserve">The policy of reconciliation awaits the achievement of equality with other Australians in health, living conditions, education and employment.  </w:t>
            </w:r>
          </w:p>
          <w:p w:rsidR="00C2407D" w:rsidRDefault="00C2407D" w:rsidP="00682EFE"/>
          <w:p w:rsidR="00C2407D" w:rsidRDefault="00C2407D" w:rsidP="00682EFE"/>
          <w:p w:rsidR="00C2407D" w:rsidRDefault="00C2407D" w:rsidP="00682EFE"/>
          <w:p w:rsidR="00C2407D" w:rsidRDefault="00C2407D" w:rsidP="00682EFE"/>
          <w:p w:rsidR="00C2407D" w:rsidRDefault="00C2407D" w:rsidP="00682EFE"/>
          <w:p w:rsidR="00C2407D" w:rsidRDefault="00C2407D" w:rsidP="00682EFE"/>
        </w:tc>
      </w:tr>
      <w:tr w:rsidR="00013BB3" w:rsidTr="00013BB3">
        <w:trPr>
          <w:cantSplit/>
        </w:trPr>
        <w:tc>
          <w:tcPr>
            <w:tcW w:w="1555" w:type="dxa"/>
          </w:tcPr>
          <w:p w:rsidR="00013BB3" w:rsidRDefault="00013BB3" w:rsidP="00766D64">
            <w:r>
              <w:t xml:space="preserve">Sorry </w:t>
            </w:r>
          </w:p>
        </w:tc>
        <w:tc>
          <w:tcPr>
            <w:tcW w:w="12757" w:type="dxa"/>
            <w:gridSpan w:val="3"/>
          </w:tcPr>
          <w:p w:rsidR="00013BB3" w:rsidRDefault="00013BB3" w:rsidP="00013BB3">
            <w:pPr>
              <w:pStyle w:val="ListParagraph"/>
              <w:numPr>
                <w:ilvl w:val="0"/>
                <w:numId w:val="1"/>
              </w:numPr>
            </w:pPr>
            <w:r>
              <w:t>List 5 specific things that Kevin Rudd apologises for and 5 specific things he would like to see in the future?</w:t>
            </w:r>
          </w:p>
          <w:p w:rsidR="00013BB3" w:rsidRDefault="00013BB3" w:rsidP="00013BB3">
            <w:pPr>
              <w:pStyle w:val="ListParagraph"/>
              <w:numPr>
                <w:ilvl w:val="0"/>
                <w:numId w:val="1"/>
              </w:numPr>
            </w:pPr>
            <w:r>
              <w:t xml:space="preserve">Explain why the apology would be significant to Aboriginal people. </w:t>
            </w:r>
          </w:p>
          <w:p w:rsidR="00013BB3" w:rsidRDefault="00013BB3" w:rsidP="00013BB3">
            <w:pPr>
              <w:pStyle w:val="ListParagraph"/>
            </w:pPr>
          </w:p>
          <w:p w:rsidR="00013BB3" w:rsidRDefault="00013BB3" w:rsidP="00013BB3"/>
          <w:p w:rsidR="00013BB3" w:rsidRDefault="00013BB3"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766D64"/>
          <w:p w:rsidR="00013BB3" w:rsidRDefault="00013BB3" w:rsidP="00682EFE"/>
        </w:tc>
      </w:tr>
    </w:tbl>
    <w:p w:rsidR="00766D64" w:rsidRDefault="00766D64" w:rsidP="00766D64"/>
    <w:sectPr w:rsidR="00766D64" w:rsidSect="00013BB3">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C30B6"/>
    <w:multiLevelType w:val="hybridMultilevel"/>
    <w:tmpl w:val="D390D4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41"/>
    <w:rsid w:val="00013BB3"/>
    <w:rsid w:val="00497277"/>
    <w:rsid w:val="005E4EB8"/>
    <w:rsid w:val="00682EFE"/>
    <w:rsid w:val="00766D64"/>
    <w:rsid w:val="008502E2"/>
    <w:rsid w:val="00A06DB2"/>
    <w:rsid w:val="00A26B41"/>
    <w:rsid w:val="00C2407D"/>
    <w:rsid w:val="00C44919"/>
    <w:rsid w:val="00D10109"/>
    <w:rsid w:val="00D125B9"/>
    <w:rsid w:val="00D33C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BB3"/>
    <w:pPr>
      <w:ind w:left="720"/>
      <w:contextualSpacing/>
    </w:pPr>
  </w:style>
  <w:style w:type="paragraph" w:styleId="BalloonText">
    <w:name w:val="Balloon Text"/>
    <w:basedOn w:val="Normal"/>
    <w:link w:val="BalloonTextChar"/>
    <w:uiPriority w:val="99"/>
    <w:semiHidden/>
    <w:unhideWhenUsed/>
    <w:rsid w:val="00D10109"/>
    <w:rPr>
      <w:rFonts w:ascii="Tahoma" w:hAnsi="Tahoma" w:cs="Tahoma"/>
      <w:sz w:val="16"/>
      <w:szCs w:val="16"/>
    </w:rPr>
  </w:style>
  <w:style w:type="character" w:customStyle="1" w:styleId="BalloonTextChar">
    <w:name w:val="Balloon Text Char"/>
    <w:basedOn w:val="DefaultParagraphFont"/>
    <w:link w:val="BalloonText"/>
    <w:uiPriority w:val="99"/>
    <w:semiHidden/>
    <w:rsid w:val="00D10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BB3"/>
    <w:pPr>
      <w:ind w:left="720"/>
      <w:contextualSpacing/>
    </w:pPr>
  </w:style>
  <w:style w:type="paragraph" w:styleId="BalloonText">
    <w:name w:val="Balloon Text"/>
    <w:basedOn w:val="Normal"/>
    <w:link w:val="BalloonTextChar"/>
    <w:uiPriority w:val="99"/>
    <w:semiHidden/>
    <w:unhideWhenUsed/>
    <w:rsid w:val="00D10109"/>
    <w:rPr>
      <w:rFonts w:ascii="Tahoma" w:hAnsi="Tahoma" w:cs="Tahoma"/>
      <w:sz w:val="16"/>
      <w:szCs w:val="16"/>
    </w:rPr>
  </w:style>
  <w:style w:type="character" w:customStyle="1" w:styleId="BalloonTextChar">
    <w:name w:val="Balloon Text Char"/>
    <w:basedOn w:val="DefaultParagraphFont"/>
    <w:link w:val="BalloonText"/>
    <w:uiPriority w:val="99"/>
    <w:semiHidden/>
    <w:rsid w:val="00D10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Radell Carlson</dc:creator>
  <cp:lastModifiedBy> </cp:lastModifiedBy>
  <cp:revision>2</cp:revision>
  <cp:lastPrinted>2013-10-30T04:41:00Z</cp:lastPrinted>
  <dcterms:created xsi:type="dcterms:W3CDTF">2014-11-26T05:14:00Z</dcterms:created>
  <dcterms:modified xsi:type="dcterms:W3CDTF">2014-11-26T05:14:00Z</dcterms:modified>
</cp:coreProperties>
</file>